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AC" w:rsidRPr="003D5588" w:rsidRDefault="003D5588" w:rsidP="00606326">
      <w:pPr>
        <w:rPr>
          <w:rFonts w:ascii="Arial" w:hAnsi="Arial" w:cs="Arial"/>
          <w:b/>
          <w:sz w:val="36"/>
          <w:szCs w:val="36"/>
        </w:rPr>
      </w:pPr>
      <w:r w:rsidRPr="003D5588">
        <w:rPr>
          <w:rFonts w:ascii="Arial" w:hAnsi="Arial" w:cs="Arial"/>
          <w:b/>
          <w:sz w:val="36"/>
          <w:szCs w:val="36"/>
          <w:lang w:eastAsia="en-GB"/>
        </w:rPr>
        <w:t xml:space="preserve">The Caldicott Guardian </w:t>
      </w:r>
      <w:r w:rsidR="00A36203">
        <w:rPr>
          <w:rFonts w:ascii="Arial" w:hAnsi="Arial" w:cs="Arial"/>
          <w:b/>
          <w:sz w:val="36"/>
          <w:szCs w:val="36"/>
          <w:lang w:eastAsia="en-GB"/>
        </w:rPr>
        <w:t>&amp;</w:t>
      </w:r>
      <w:r w:rsidRPr="003D5588">
        <w:rPr>
          <w:rFonts w:ascii="Arial" w:hAnsi="Arial" w:cs="Arial"/>
          <w:b/>
          <w:sz w:val="36"/>
          <w:szCs w:val="36"/>
          <w:lang w:eastAsia="en-GB"/>
        </w:rPr>
        <w:t xml:space="preserve"> Ethical Decis</w:t>
      </w:r>
      <w:r w:rsidR="00A36203">
        <w:rPr>
          <w:rFonts w:ascii="Arial" w:hAnsi="Arial" w:cs="Arial"/>
          <w:b/>
          <w:sz w:val="36"/>
          <w:szCs w:val="36"/>
          <w:lang w:eastAsia="en-GB"/>
        </w:rPr>
        <w:t>ion Making</w:t>
      </w:r>
    </w:p>
    <w:p w:rsidR="00812BAC" w:rsidRDefault="00812BAC" w:rsidP="00606326">
      <w:pPr>
        <w:rPr>
          <w:rFonts w:ascii="Arial" w:hAnsi="Arial"/>
          <w:b/>
          <w:sz w:val="36"/>
          <w:szCs w:val="36"/>
        </w:rPr>
      </w:pPr>
    </w:p>
    <w:p w:rsidR="00812BAC" w:rsidRPr="00812BAC" w:rsidRDefault="00812BAC" w:rsidP="00606326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Biography &amp; Abstract</w:t>
      </w:r>
    </w:p>
    <w:p w:rsidR="00812BAC" w:rsidRDefault="00812BAC" w:rsidP="00606326">
      <w:pPr>
        <w:rPr>
          <w:rFonts w:ascii="Arial" w:hAnsi="Arial"/>
          <w:b/>
          <w:sz w:val="28"/>
          <w:szCs w:val="28"/>
        </w:rPr>
      </w:pPr>
    </w:p>
    <w:p w:rsidR="00606326" w:rsidRDefault="00606326" w:rsidP="00606326">
      <w:pPr>
        <w:rPr>
          <w:rFonts w:ascii="Arial" w:hAnsi="Arial"/>
          <w:sz w:val="28"/>
          <w:szCs w:val="28"/>
        </w:rPr>
      </w:pPr>
      <w:r w:rsidRPr="00606326">
        <w:rPr>
          <w:rFonts w:ascii="Arial" w:hAnsi="Arial"/>
          <w:b/>
          <w:sz w:val="28"/>
          <w:szCs w:val="28"/>
        </w:rPr>
        <w:t>Mike O’Connell, Legal Services Practitioner</w:t>
      </w:r>
      <w:r>
        <w:rPr>
          <w:rFonts w:ascii="Arial" w:hAnsi="Arial"/>
          <w:sz w:val="28"/>
          <w:szCs w:val="28"/>
        </w:rPr>
        <w:t xml:space="preserve">, has </w:t>
      </w:r>
      <w:r w:rsidRPr="004F143A">
        <w:rPr>
          <w:rFonts w:ascii="Arial" w:hAnsi="Arial"/>
          <w:sz w:val="28"/>
          <w:szCs w:val="28"/>
        </w:rPr>
        <w:t xml:space="preserve">worked in </w:t>
      </w:r>
      <w:r>
        <w:rPr>
          <w:rFonts w:ascii="Arial" w:hAnsi="Arial"/>
          <w:sz w:val="28"/>
          <w:szCs w:val="28"/>
        </w:rPr>
        <w:t>the NHS in</w:t>
      </w:r>
      <w:r w:rsidR="008110EF">
        <w:rPr>
          <w:rFonts w:ascii="Arial" w:hAnsi="Arial"/>
          <w:sz w:val="28"/>
          <w:szCs w:val="28"/>
        </w:rPr>
        <w:t xml:space="preserve"> Yorkshire for 36 years,</w:t>
      </w:r>
      <w:r>
        <w:rPr>
          <w:rFonts w:ascii="Arial" w:hAnsi="Arial"/>
          <w:sz w:val="28"/>
          <w:szCs w:val="28"/>
        </w:rPr>
        <w:t xml:space="preserve"> was </w:t>
      </w:r>
      <w:r w:rsidRPr="004F143A">
        <w:rPr>
          <w:rFonts w:ascii="Arial" w:hAnsi="Arial"/>
          <w:sz w:val="28"/>
          <w:szCs w:val="28"/>
        </w:rPr>
        <w:t>Head of Legal Services at The Mid Yorkshire Hospitals NHS Trust</w:t>
      </w:r>
      <w:r w:rsidR="008110EF">
        <w:rPr>
          <w:rFonts w:ascii="Arial" w:hAnsi="Arial"/>
          <w:sz w:val="28"/>
          <w:szCs w:val="28"/>
        </w:rPr>
        <w:t xml:space="preserve">, and is currently Interim </w:t>
      </w:r>
      <w:r w:rsidR="00E14F2B">
        <w:rPr>
          <w:rFonts w:ascii="Arial" w:hAnsi="Arial"/>
          <w:sz w:val="28"/>
          <w:szCs w:val="28"/>
        </w:rPr>
        <w:t>Senior Inquests Manager</w:t>
      </w:r>
      <w:r w:rsidR="008110EF">
        <w:rPr>
          <w:rFonts w:ascii="Arial" w:hAnsi="Arial"/>
          <w:sz w:val="28"/>
          <w:szCs w:val="28"/>
        </w:rPr>
        <w:t xml:space="preserve"> at Calderdale and Huddersfield NHS Foundation Trust</w:t>
      </w:r>
      <w:r w:rsidRPr="004F143A">
        <w:rPr>
          <w:rFonts w:ascii="Arial" w:hAnsi="Arial"/>
          <w:sz w:val="28"/>
          <w:szCs w:val="28"/>
        </w:rPr>
        <w:t xml:space="preserve">. He </w:t>
      </w:r>
      <w:r w:rsidR="008110EF">
        <w:rPr>
          <w:rFonts w:ascii="Arial" w:hAnsi="Arial"/>
          <w:sz w:val="28"/>
          <w:szCs w:val="28"/>
        </w:rPr>
        <w:t>has been</w:t>
      </w:r>
      <w:r w:rsidRPr="004F143A">
        <w:rPr>
          <w:rFonts w:ascii="Arial" w:hAnsi="Arial"/>
          <w:sz w:val="28"/>
          <w:szCs w:val="28"/>
        </w:rPr>
        <w:t xml:space="preserve"> dedicated to the management of legal services</w:t>
      </w:r>
      <w:r w:rsidR="008110EF">
        <w:rPr>
          <w:rFonts w:ascii="Arial" w:hAnsi="Arial"/>
          <w:sz w:val="28"/>
          <w:szCs w:val="28"/>
        </w:rPr>
        <w:t xml:space="preserve"> for 25</w:t>
      </w:r>
      <w:r w:rsidRPr="004F143A">
        <w:rPr>
          <w:rFonts w:ascii="Arial" w:hAnsi="Arial"/>
          <w:sz w:val="28"/>
          <w:szCs w:val="28"/>
        </w:rPr>
        <w:t xml:space="preserve"> years, involving managing Clinical Negligence, Employers</w:t>
      </w:r>
      <w:r>
        <w:rPr>
          <w:rFonts w:ascii="Arial" w:hAnsi="Arial"/>
          <w:sz w:val="28"/>
          <w:szCs w:val="28"/>
        </w:rPr>
        <w:t>’</w:t>
      </w:r>
      <w:r w:rsidRPr="004F143A">
        <w:rPr>
          <w:rFonts w:ascii="Arial" w:hAnsi="Arial"/>
          <w:sz w:val="28"/>
          <w:szCs w:val="28"/>
        </w:rPr>
        <w:t xml:space="preserve"> and Public Liability claims, </w:t>
      </w:r>
      <w:r w:rsidR="006C3AFB">
        <w:rPr>
          <w:rFonts w:ascii="Arial" w:hAnsi="Arial"/>
          <w:sz w:val="28"/>
          <w:szCs w:val="28"/>
        </w:rPr>
        <w:t>providing</w:t>
      </w:r>
      <w:r w:rsidRPr="004F143A">
        <w:rPr>
          <w:rFonts w:ascii="Arial" w:hAnsi="Arial"/>
          <w:sz w:val="28"/>
          <w:szCs w:val="28"/>
        </w:rPr>
        <w:t xml:space="preserve"> advice and education to Trust staff in relation to medico-legal matter</w:t>
      </w:r>
      <w:r>
        <w:rPr>
          <w:rFonts w:ascii="Arial" w:hAnsi="Arial"/>
          <w:sz w:val="28"/>
          <w:szCs w:val="28"/>
        </w:rPr>
        <w:t>s (including Coroner’s inquests</w:t>
      </w:r>
      <w:r w:rsidR="00B950C5">
        <w:rPr>
          <w:rFonts w:ascii="Arial" w:hAnsi="Arial"/>
          <w:sz w:val="28"/>
          <w:szCs w:val="28"/>
        </w:rPr>
        <w:t xml:space="preserve"> and Serious Incidents</w:t>
      </w:r>
      <w:r>
        <w:rPr>
          <w:rFonts w:ascii="Arial" w:hAnsi="Arial"/>
          <w:sz w:val="28"/>
          <w:szCs w:val="28"/>
        </w:rPr>
        <w:t>)</w:t>
      </w:r>
      <w:r w:rsidRPr="004F143A">
        <w:rPr>
          <w:rFonts w:ascii="Arial" w:hAnsi="Arial"/>
          <w:sz w:val="28"/>
          <w:szCs w:val="28"/>
        </w:rPr>
        <w:t xml:space="preserve">, and the provision of staff support in such matters. In 2014, his team were voted The Legal 500 UK in-house team of the year for healthcare. An alumnus of the Capsticks Diploma in </w:t>
      </w:r>
      <w:r>
        <w:rPr>
          <w:rFonts w:ascii="Arial" w:hAnsi="Arial"/>
          <w:sz w:val="28"/>
          <w:szCs w:val="28"/>
        </w:rPr>
        <w:t xml:space="preserve">Clinical </w:t>
      </w:r>
      <w:r w:rsidRPr="004F143A">
        <w:rPr>
          <w:rFonts w:ascii="Arial" w:hAnsi="Arial"/>
          <w:sz w:val="28"/>
          <w:szCs w:val="28"/>
        </w:rPr>
        <w:t>Risk</w:t>
      </w:r>
      <w:r>
        <w:rPr>
          <w:rFonts w:ascii="Arial" w:hAnsi="Arial"/>
          <w:sz w:val="28"/>
          <w:szCs w:val="28"/>
        </w:rPr>
        <w:t xml:space="preserve"> and Claims</w:t>
      </w:r>
      <w:r w:rsidRPr="004F143A">
        <w:rPr>
          <w:rFonts w:ascii="Arial" w:hAnsi="Arial"/>
          <w:sz w:val="28"/>
          <w:szCs w:val="28"/>
        </w:rPr>
        <w:t xml:space="preserve"> Management (1997), Mike was Vice-Chair of the</w:t>
      </w:r>
      <w:r>
        <w:rPr>
          <w:rFonts w:ascii="Arial" w:hAnsi="Arial"/>
          <w:sz w:val="28"/>
          <w:szCs w:val="28"/>
        </w:rPr>
        <w:t xml:space="preserve"> national</w:t>
      </w:r>
      <w:r w:rsidRPr="004F143A">
        <w:rPr>
          <w:rFonts w:ascii="Arial" w:hAnsi="Arial"/>
          <w:sz w:val="28"/>
          <w:szCs w:val="28"/>
        </w:rPr>
        <w:t xml:space="preserve"> Association of L</w:t>
      </w:r>
      <w:r>
        <w:rPr>
          <w:rFonts w:ascii="Arial" w:hAnsi="Arial"/>
          <w:sz w:val="28"/>
          <w:szCs w:val="28"/>
        </w:rPr>
        <w:t>itigation A</w:t>
      </w:r>
      <w:r w:rsidRPr="004F143A">
        <w:rPr>
          <w:rFonts w:ascii="Arial" w:hAnsi="Arial"/>
          <w:sz w:val="28"/>
          <w:szCs w:val="28"/>
        </w:rPr>
        <w:t>nd Risk Management (ALARM) 2001 – 200</w:t>
      </w:r>
      <w:r w:rsidR="006C3AFB">
        <w:rPr>
          <w:rFonts w:ascii="Arial" w:hAnsi="Arial"/>
          <w:sz w:val="28"/>
          <w:szCs w:val="28"/>
        </w:rPr>
        <w:t>3, then Chair from 2004 to 2007</w:t>
      </w:r>
      <w:r w:rsidRPr="004F143A">
        <w:rPr>
          <w:rFonts w:ascii="Arial" w:hAnsi="Arial"/>
          <w:sz w:val="28"/>
          <w:szCs w:val="28"/>
        </w:rPr>
        <w:t xml:space="preserve"> and again in 2009/2010</w:t>
      </w:r>
      <w:r>
        <w:rPr>
          <w:rFonts w:ascii="Arial" w:hAnsi="Arial"/>
          <w:sz w:val="28"/>
          <w:szCs w:val="28"/>
        </w:rPr>
        <w:t>,</w:t>
      </w:r>
      <w:r w:rsidRPr="004F143A">
        <w:rPr>
          <w:rFonts w:ascii="Arial" w:hAnsi="Arial"/>
          <w:sz w:val="28"/>
          <w:szCs w:val="28"/>
        </w:rPr>
        <w:t xml:space="preserve"> assisting in its transition to become the Patient Safety Section of the Royal Society of Medicine. Mike </w:t>
      </w:r>
      <w:r>
        <w:rPr>
          <w:rFonts w:ascii="Arial" w:hAnsi="Arial"/>
          <w:sz w:val="28"/>
          <w:szCs w:val="28"/>
        </w:rPr>
        <w:t xml:space="preserve">also </w:t>
      </w:r>
      <w:r w:rsidRPr="004F143A">
        <w:rPr>
          <w:rFonts w:ascii="Arial" w:hAnsi="Arial"/>
          <w:sz w:val="28"/>
          <w:szCs w:val="28"/>
        </w:rPr>
        <w:t xml:space="preserve">established and hosted the Litigation/Risk Management Network (North East) from its inception in 1995 to </w:t>
      </w:r>
      <w:r>
        <w:rPr>
          <w:rFonts w:ascii="Arial" w:hAnsi="Arial"/>
          <w:sz w:val="28"/>
          <w:szCs w:val="28"/>
        </w:rPr>
        <w:t>2017</w:t>
      </w:r>
      <w:r w:rsidRPr="004F143A">
        <w:rPr>
          <w:rFonts w:ascii="Arial" w:hAnsi="Arial"/>
          <w:sz w:val="28"/>
          <w:szCs w:val="28"/>
        </w:rPr>
        <w:t xml:space="preserve">. </w:t>
      </w:r>
      <w:r w:rsidR="006C3AFB" w:rsidRPr="000B6D73">
        <w:rPr>
          <w:rFonts w:ascii="Arial" w:hAnsi="Arial"/>
          <w:b/>
          <w:sz w:val="28"/>
          <w:szCs w:val="28"/>
        </w:rPr>
        <w:t>Qualifications</w:t>
      </w:r>
      <w:r w:rsidR="006C3AFB">
        <w:rPr>
          <w:rFonts w:ascii="Arial" w:hAnsi="Arial"/>
          <w:sz w:val="28"/>
          <w:szCs w:val="28"/>
        </w:rPr>
        <w:t>: BA (Hons), DipRM.</w:t>
      </w:r>
    </w:p>
    <w:p w:rsidR="00606326" w:rsidRDefault="00606326" w:rsidP="00606326">
      <w:pPr>
        <w:rPr>
          <w:rFonts w:ascii="Arial" w:hAnsi="Arial"/>
          <w:sz w:val="28"/>
          <w:szCs w:val="28"/>
        </w:rPr>
      </w:pPr>
    </w:p>
    <w:p w:rsidR="00606326" w:rsidRPr="003D5588" w:rsidRDefault="008110EF" w:rsidP="00606326">
      <w:pPr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Information Sharing</w:t>
      </w:r>
      <w:r w:rsidR="003D5588" w:rsidRPr="003D5588">
        <w:rPr>
          <w:rFonts w:ascii="Arial" w:hAnsi="Arial" w:cs="Arial"/>
          <w:b/>
          <w:sz w:val="28"/>
          <w:szCs w:val="28"/>
        </w:rPr>
        <w:t xml:space="preserve"> and the Duty of Candour</w:t>
      </w:r>
    </w:p>
    <w:p w:rsidR="003D5588" w:rsidRPr="003D5588" w:rsidRDefault="003D5588" w:rsidP="003D55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3D5588">
        <w:rPr>
          <w:rFonts w:ascii="Arial" w:hAnsi="Arial" w:cs="Arial"/>
          <w:sz w:val="28"/>
          <w:szCs w:val="28"/>
        </w:rPr>
        <w:t>the</w:t>
      </w:r>
      <w:proofErr w:type="gramEnd"/>
      <w:r w:rsidRPr="003D5588">
        <w:rPr>
          <w:rFonts w:ascii="Arial" w:hAnsi="Arial" w:cs="Arial"/>
          <w:sz w:val="28"/>
          <w:szCs w:val="28"/>
        </w:rPr>
        <w:t xml:space="preserve"> legal principles behind the Duty of Candour: when should disclosures be made?</w:t>
      </w:r>
    </w:p>
    <w:p w:rsidR="003D5588" w:rsidRPr="003D5588" w:rsidRDefault="003D5588" w:rsidP="003D55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D5588">
        <w:rPr>
          <w:rFonts w:ascii="Arial" w:hAnsi="Arial" w:cs="Arial"/>
          <w:sz w:val="28"/>
          <w:szCs w:val="28"/>
        </w:rPr>
        <w:t xml:space="preserve">the Caldicott Guardian and the Duty of Candour </w:t>
      </w:r>
    </w:p>
    <w:p w:rsidR="003D5588" w:rsidRPr="003D5588" w:rsidRDefault="003D5588" w:rsidP="003D55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D5588">
        <w:rPr>
          <w:rFonts w:ascii="Arial" w:hAnsi="Arial" w:cs="Arial"/>
          <w:sz w:val="28"/>
          <w:szCs w:val="28"/>
        </w:rPr>
        <w:t xml:space="preserve"> training and supporting staff in disclosing unanticipated events in patient care</w:t>
      </w:r>
    </w:p>
    <w:p w:rsidR="003D5588" w:rsidRPr="003D5588" w:rsidRDefault="003D5588" w:rsidP="003D55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D5588">
        <w:rPr>
          <w:rFonts w:ascii="Arial" w:hAnsi="Arial" w:cs="Arial"/>
          <w:sz w:val="28"/>
          <w:szCs w:val="28"/>
        </w:rPr>
        <w:t>liaising with patients and families</w:t>
      </w:r>
    </w:p>
    <w:p w:rsidR="003D5588" w:rsidRPr="003D5588" w:rsidRDefault="002B4B62" w:rsidP="003D55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applying 'Being O</w:t>
      </w:r>
      <w:r w:rsidR="003D5588" w:rsidRPr="003D5588">
        <w:rPr>
          <w:rFonts w:ascii="Arial" w:hAnsi="Arial" w:cs="Arial"/>
          <w:sz w:val="28"/>
          <w:szCs w:val="28"/>
        </w:rPr>
        <w:t xml:space="preserve">pen' principles </w:t>
      </w:r>
    </w:p>
    <w:p w:rsidR="00606326" w:rsidRPr="006C4CD8" w:rsidRDefault="003D5588" w:rsidP="003D558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en-US"/>
        </w:rPr>
      </w:pPr>
      <w:r w:rsidRPr="003D5588">
        <w:rPr>
          <w:rFonts w:ascii="Arial" w:hAnsi="Arial" w:cs="Arial"/>
          <w:sz w:val="28"/>
          <w:szCs w:val="28"/>
        </w:rPr>
        <w:t>examples in practice and interactive discussion</w:t>
      </w:r>
      <w:r w:rsidR="002B4B62">
        <w:rPr>
          <w:rFonts w:ascii="Arial" w:hAnsi="Arial" w:cs="Arial"/>
          <w:sz w:val="28"/>
          <w:szCs w:val="28"/>
        </w:rPr>
        <w:t>.</w:t>
      </w:r>
      <w:r w:rsidRPr="003D5588">
        <w:rPr>
          <w:rFonts w:ascii="Arial" w:hAnsi="Arial" w:cs="Arial"/>
          <w:sz w:val="28"/>
          <w:szCs w:val="28"/>
        </w:rPr>
        <w:t xml:space="preserve">   </w:t>
      </w:r>
    </w:p>
    <w:p w:rsidR="006C4CD8" w:rsidRDefault="006C4CD8" w:rsidP="006C4CD8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6C4CD8" w:rsidRDefault="006C4CD8" w:rsidP="006C4CD8">
      <w:pPr>
        <w:rPr>
          <w:rFonts w:ascii="Arial" w:hAnsi="Arial" w:cs="Arial"/>
          <w:bCs/>
          <w:sz w:val="28"/>
          <w:szCs w:val="28"/>
          <w:lang w:val="en-US"/>
        </w:rPr>
      </w:pPr>
      <w:r w:rsidRPr="006C4CD8">
        <w:rPr>
          <w:rFonts w:ascii="Arial" w:hAnsi="Arial" w:cs="Arial"/>
          <w:bCs/>
          <w:sz w:val="28"/>
          <w:szCs w:val="28"/>
          <w:lang w:val="en-US"/>
        </w:rPr>
        <w:t>This session will detail, in practical terms, the statutory Duty of Candour, with specific regard to the disclosure of unexpected events in patient care, referencing current</w:t>
      </w:r>
      <w:r w:rsidR="00D62B6A">
        <w:rPr>
          <w:rFonts w:ascii="Arial" w:hAnsi="Arial" w:cs="Arial"/>
          <w:bCs/>
          <w:sz w:val="28"/>
          <w:szCs w:val="28"/>
          <w:lang w:val="en-US"/>
        </w:rPr>
        <w:t>, and emerging,</w:t>
      </w:r>
      <w:r w:rsidRPr="006C4CD8">
        <w:rPr>
          <w:rFonts w:ascii="Arial" w:hAnsi="Arial" w:cs="Arial"/>
          <w:bCs/>
          <w:sz w:val="28"/>
          <w:szCs w:val="28"/>
          <w:lang w:val="en-US"/>
        </w:rPr>
        <w:t xml:space="preserve"> guidance on the management of serious incidents, earlier Being Open principles, and the work </w:t>
      </w:r>
      <w:r w:rsidR="00E14F2B">
        <w:rPr>
          <w:rFonts w:ascii="Arial" w:hAnsi="Arial" w:cs="Arial"/>
          <w:bCs/>
          <w:sz w:val="28"/>
          <w:szCs w:val="28"/>
          <w:lang w:val="en-US"/>
        </w:rPr>
        <w:t>of NHS Resolution</w:t>
      </w:r>
      <w:r w:rsidRPr="006C4CD8">
        <w:rPr>
          <w:rFonts w:ascii="Arial" w:hAnsi="Arial" w:cs="Arial"/>
          <w:bCs/>
          <w:sz w:val="28"/>
          <w:szCs w:val="28"/>
          <w:lang w:val="en-US"/>
        </w:rPr>
        <w:t xml:space="preserve">, all in the context of Caldicott Guardians and information sharing.   </w:t>
      </w:r>
    </w:p>
    <w:p w:rsidR="00E14F2B" w:rsidRDefault="00E14F2B" w:rsidP="006C4CD8">
      <w:pPr>
        <w:rPr>
          <w:rFonts w:ascii="Arial" w:hAnsi="Arial" w:cs="Arial"/>
          <w:bCs/>
          <w:sz w:val="28"/>
          <w:szCs w:val="28"/>
          <w:lang w:val="en-US"/>
        </w:rPr>
      </w:pPr>
    </w:p>
    <w:p w:rsidR="008110EF" w:rsidRDefault="008110EF" w:rsidP="006C4CD8">
      <w:pPr>
        <w:rPr>
          <w:rFonts w:ascii="Arial" w:hAnsi="Arial" w:cs="Arial"/>
          <w:bCs/>
          <w:sz w:val="28"/>
          <w:szCs w:val="28"/>
          <w:lang w:val="en-US"/>
        </w:rPr>
      </w:pPr>
    </w:p>
    <w:p w:rsidR="008110EF" w:rsidRDefault="008110EF" w:rsidP="006C4CD8">
      <w:pPr>
        <w:rPr>
          <w:rFonts w:ascii="Arial" w:hAnsi="Arial" w:cs="Arial"/>
          <w:bCs/>
          <w:sz w:val="28"/>
          <w:szCs w:val="28"/>
          <w:lang w:val="en-US"/>
        </w:rPr>
      </w:pPr>
    </w:p>
    <w:p w:rsidR="008110EF" w:rsidRDefault="008110EF" w:rsidP="006C4CD8">
      <w:pPr>
        <w:rPr>
          <w:rFonts w:ascii="Arial" w:hAnsi="Arial" w:cs="Arial"/>
          <w:bCs/>
          <w:sz w:val="28"/>
          <w:szCs w:val="28"/>
          <w:lang w:val="en-US"/>
        </w:rPr>
      </w:pPr>
    </w:p>
    <w:p w:rsidR="008110EF" w:rsidRDefault="008110EF" w:rsidP="006C4CD8">
      <w:pPr>
        <w:rPr>
          <w:rFonts w:ascii="Arial" w:hAnsi="Arial" w:cs="Arial"/>
          <w:bCs/>
          <w:sz w:val="28"/>
          <w:szCs w:val="28"/>
          <w:lang w:val="en-US"/>
        </w:rPr>
      </w:pPr>
    </w:p>
    <w:p w:rsidR="008110EF" w:rsidRDefault="008110EF" w:rsidP="006C4CD8">
      <w:pPr>
        <w:rPr>
          <w:rFonts w:ascii="Arial" w:hAnsi="Arial" w:cs="Arial"/>
          <w:bCs/>
          <w:sz w:val="28"/>
          <w:szCs w:val="28"/>
          <w:lang w:val="en-US"/>
        </w:rPr>
      </w:pPr>
    </w:p>
    <w:p w:rsidR="008110EF" w:rsidRDefault="008110EF" w:rsidP="006C4CD8">
      <w:pPr>
        <w:rPr>
          <w:rFonts w:ascii="Arial" w:hAnsi="Arial" w:cs="Arial"/>
          <w:bCs/>
          <w:sz w:val="28"/>
          <w:szCs w:val="28"/>
          <w:lang w:val="en-US"/>
        </w:rPr>
      </w:pPr>
    </w:p>
    <w:p w:rsidR="008110EF" w:rsidRPr="006C4CD8" w:rsidRDefault="008110EF" w:rsidP="006C4CD8">
      <w:pPr>
        <w:rPr>
          <w:rFonts w:ascii="Arial" w:hAnsi="Arial" w:cs="Arial"/>
          <w:bCs/>
          <w:sz w:val="28"/>
          <w:szCs w:val="28"/>
          <w:lang w:val="en-US"/>
        </w:rPr>
      </w:pPr>
    </w:p>
    <w:p w:rsidR="00606326" w:rsidRDefault="00606326" w:rsidP="00606326">
      <w:pPr>
        <w:rPr>
          <w:rFonts w:ascii="Arial" w:hAnsi="Arial"/>
          <w:sz w:val="28"/>
          <w:szCs w:val="28"/>
        </w:rPr>
      </w:pPr>
    </w:p>
    <w:p w:rsidR="00503009" w:rsidRDefault="00503009" w:rsidP="00606326">
      <w:pPr>
        <w:rPr>
          <w:rFonts w:ascii="Arial" w:hAnsi="Arial"/>
          <w:sz w:val="28"/>
          <w:szCs w:val="28"/>
        </w:rPr>
      </w:pPr>
    </w:p>
    <w:p w:rsidR="00A24F9E" w:rsidRDefault="008110EF">
      <w:r w:rsidRPr="008110E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8992" cy="2593075"/>
            <wp:effectExtent l="19050" t="0" r="0" b="0"/>
            <wp:wrapSquare wrapText="bothSides"/>
            <wp:docPr id="2" name="Picture 1" descr="C:\Users\Mike\Pictures\2014 Legal 500 Awards\2_Mike O'Connell_Mid Yorkshire Hospi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Pictures\2014 Legal 500 Awards\2_Mike O'Connell_Mid Yorkshire Hospit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52" t="25107" r="13942" b="4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4F9E" w:rsidSect="007B7F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3AB9"/>
    <w:multiLevelType w:val="hybridMultilevel"/>
    <w:tmpl w:val="0BCCD2AC"/>
    <w:lvl w:ilvl="0" w:tplc="B35C4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00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87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00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04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C3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6C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06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6D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606326"/>
    <w:rsid w:val="000704C3"/>
    <w:rsid w:val="000B6D73"/>
    <w:rsid w:val="001C6A86"/>
    <w:rsid w:val="001D01C6"/>
    <w:rsid w:val="00292E6B"/>
    <w:rsid w:val="002A6F1C"/>
    <w:rsid w:val="002B4B62"/>
    <w:rsid w:val="002C229F"/>
    <w:rsid w:val="003521AB"/>
    <w:rsid w:val="0037121C"/>
    <w:rsid w:val="003D5588"/>
    <w:rsid w:val="00503009"/>
    <w:rsid w:val="00545101"/>
    <w:rsid w:val="00583449"/>
    <w:rsid w:val="00606326"/>
    <w:rsid w:val="006B4D9F"/>
    <w:rsid w:val="006C3AFB"/>
    <w:rsid w:val="006C4CD8"/>
    <w:rsid w:val="00776F6E"/>
    <w:rsid w:val="007B7F24"/>
    <w:rsid w:val="008110EF"/>
    <w:rsid w:val="00812BAC"/>
    <w:rsid w:val="00947330"/>
    <w:rsid w:val="00955E4F"/>
    <w:rsid w:val="009C7F55"/>
    <w:rsid w:val="00A2204B"/>
    <w:rsid w:val="00A24F9E"/>
    <w:rsid w:val="00A36203"/>
    <w:rsid w:val="00A5266B"/>
    <w:rsid w:val="00A848A5"/>
    <w:rsid w:val="00A90353"/>
    <w:rsid w:val="00A920C1"/>
    <w:rsid w:val="00B31752"/>
    <w:rsid w:val="00B65633"/>
    <w:rsid w:val="00B71C6D"/>
    <w:rsid w:val="00B950C5"/>
    <w:rsid w:val="00CA67D1"/>
    <w:rsid w:val="00D62B6A"/>
    <w:rsid w:val="00D708FA"/>
    <w:rsid w:val="00E14F2B"/>
    <w:rsid w:val="00E8004F"/>
    <w:rsid w:val="00F6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6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2A2EE-ECF1-4A0B-B2EB-C8A930A9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10</cp:revision>
  <cp:lastPrinted>2019-03-13T20:43:00Z</cp:lastPrinted>
  <dcterms:created xsi:type="dcterms:W3CDTF">2019-03-13T14:55:00Z</dcterms:created>
  <dcterms:modified xsi:type="dcterms:W3CDTF">2021-12-24T09:52:00Z</dcterms:modified>
</cp:coreProperties>
</file>