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792" w:rsidRPr="005E4DC3" w:rsidRDefault="00761792" w:rsidP="00761792">
      <w:pPr>
        <w:pBdr>
          <w:top w:val="single" w:sz="4" w:space="1" w:color="auto"/>
          <w:left w:val="single" w:sz="4" w:space="4" w:color="auto"/>
          <w:bottom w:val="single" w:sz="4" w:space="1" w:color="auto"/>
          <w:right w:val="single" w:sz="4" w:space="4" w:color="auto"/>
        </w:pBdr>
        <w:rPr>
          <w:rFonts w:ascii="Calibri" w:hAnsi="Calibri"/>
          <w:b/>
          <w:lang w:val="en-US"/>
        </w:rPr>
      </w:pPr>
      <w:proofErr w:type="spellStart"/>
      <w:r w:rsidRPr="005E4DC3">
        <w:rPr>
          <w:rFonts w:ascii="Calibri" w:hAnsi="Calibri"/>
          <w:b/>
          <w:lang w:val="en-US"/>
        </w:rPr>
        <w:t>Tista</w:t>
      </w:r>
      <w:proofErr w:type="spellEnd"/>
      <w:r w:rsidRPr="005E4DC3">
        <w:rPr>
          <w:rFonts w:ascii="Calibri" w:hAnsi="Calibri"/>
          <w:b/>
          <w:lang w:val="en-US"/>
        </w:rPr>
        <w:t xml:space="preserve"> </w:t>
      </w:r>
      <w:proofErr w:type="spellStart"/>
      <w:r w:rsidRPr="005E4DC3">
        <w:rPr>
          <w:rFonts w:ascii="Calibri" w:hAnsi="Calibri"/>
          <w:b/>
          <w:lang w:val="en-US"/>
        </w:rPr>
        <w:t>Chakravarty</w:t>
      </w:r>
      <w:proofErr w:type="spellEnd"/>
      <w:r w:rsidRPr="005E4DC3">
        <w:rPr>
          <w:rFonts w:ascii="Calibri" w:hAnsi="Calibri"/>
          <w:b/>
          <w:lang w:val="en-US"/>
        </w:rPr>
        <w:t>-Gannon</w:t>
      </w:r>
    </w:p>
    <w:p w:rsidR="00761792" w:rsidRPr="005E4DC3" w:rsidRDefault="00761792" w:rsidP="00761792">
      <w:pPr>
        <w:pBdr>
          <w:top w:val="single" w:sz="4" w:space="1" w:color="auto"/>
          <w:left w:val="single" w:sz="4" w:space="4" w:color="auto"/>
          <w:bottom w:val="single" w:sz="4" w:space="1" w:color="auto"/>
          <w:right w:val="single" w:sz="4" w:space="4" w:color="auto"/>
        </w:pBdr>
        <w:rPr>
          <w:rFonts w:ascii="Calibri" w:hAnsi="Calibri"/>
          <w:b/>
          <w:lang w:val="en-US"/>
        </w:rPr>
      </w:pPr>
      <w:r w:rsidRPr="005E4DC3">
        <w:rPr>
          <w:rFonts w:ascii="Calibri" w:hAnsi="Calibri"/>
          <w:b/>
          <w:lang w:val="en-US"/>
        </w:rPr>
        <w:t>Principal Regional Liaison Adviser</w:t>
      </w:r>
    </w:p>
    <w:p w:rsidR="00761792" w:rsidRDefault="00761792" w:rsidP="00761792">
      <w:pPr>
        <w:pBdr>
          <w:top w:val="single" w:sz="4" w:space="1" w:color="auto"/>
          <w:left w:val="single" w:sz="4" w:space="4" w:color="auto"/>
          <w:bottom w:val="single" w:sz="4" w:space="1" w:color="auto"/>
          <w:right w:val="single" w:sz="4" w:space="4" w:color="auto"/>
        </w:pBdr>
        <w:rPr>
          <w:rFonts w:ascii="Calibri" w:hAnsi="Calibri"/>
          <w:b/>
          <w:lang w:val="en-US"/>
        </w:rPr>
      </w:pPr>
      <w:r w:rsidRPr="005E4DC3">
        <w:rPr>
          <w:rFonts w:ascii="Calibri" w:hAnsi="Calibri"/>
          <w:b/>
          <w:lang w:val="en-US"/>
        </w:rPr>
        <w:t>General Medical Council</w:t>
      </w:r>
    </w:p>
    <w:p w:rsidR="00761792" w:rsidRDefault="003274B6" w:rsidP="00761792">
      <w:pPr>
        <w:pBdr>
          <w:top w:val="single" w:sz="4" w:space="1" w:color="auto"/>
          <w:left w:val="single" w:sz="4" w:space="4" w:color="auto"/>
          <w:bottom w:val="single" w:sz="4" w:space="1" w:color="auto"/>
          <w:right w:val="single" w:sz="4" w:space="4" w:color="auto"/>
        </w:pBdr>
        <w:rPr>
          <w:rFonts w:ascii="Calibri" w:hAnsi="Calibri"/>
          <w:b/>
          <w:lang w:val="en-US"/>
        </w:rPr>
      </w:pPr>
      <w:hyperlink r:id="rId5" w:history="1">
        <w:r w:rsidR="00761792" w:rsidRPr="005A0EB2">
          <w:rPr>
            <w:rStyle w:val="Hyperlink"/>
            <w:rFonts w:ascii="Calibri" w:hAnsi="Calibri"/>
            <w:b/>
            <w:lang w:val="en-US"/>
          </w:rPr>
          <w:t>tcgannon@gmc-uk.org</w:t>
        </w:r>
      </w:hyperlink>
    </w:p>
    <w:p w:rsidR="00761792" w:rsidRDefault="00761792" w:rsidP="00761792">
      <w:pPr>
        <w:pBdr>
          <w:top w:val="single" w:sz="4" w:space="1" w:color="auto"/>
          <w:left w:val="single" w:sz="4" w:space="4" w:color="auto"/>
          <w:bottom w:val="single" w:sz="4" w:space="1" w:color="auto"/>
          <w:right w:val="single" w:sz="4" w:space="4" w:color="auto"/>
        </w:pBdr>
        <w:rPr>
          <w:rFonts w:ascii="Calibri" w:hAnsi="Calibri"/>
          <w:b/>
          <w:lang w:val="en-US"/>
        </w:rPr>
      </w:pPr>
      <w:r>
        <w:rPr>
          <w:rFonts w:ascii="Calibri" w:hAnsi="Calibri"/>
          <w:b/>
          <w:lang w:val="en-US"/>
        </w:rPr>
        <w:t xml:space="preserve">Twitter: </w:t>
      </w:r>
      <w:r w:rsidRPr="00290B6A">
        <w:rPr>
          <w:rFonts w:ascii="Calibri" w:hAnsi="Calibri"/>
          <w:b/>
          <w:lang w:val="en-US"/>
        </w:rPr>
        <w:t>@</w:t>
      </w:r>
      <w:proofErr w:type="spellStart"/>
      <w:r w:rsidRPr="00290B6A">
        <w:rPr>
          <w:rFonts w:ascii="Calibri" w:hAnsi="Calibri"/>
          <w:b/>
          <w:lang w:val="en-US"/>
        </w:rPr>
        <w:t>tcgannon</w:t>
      </w:r>
      <w:proofErr w:type="spellEnd"/>
    </w:p>
    <w:p w:rsidR="00761792" w:rsidRDefault="00761792" w:rsidP="00761792">
      <w:pPr>
        <w:pBdr>
          <w:top w:val="single" w:sz="4" w:space="1" w:color="auto"/>
          <w:left w:val="single" w:sz="4" w:space="4" w:color="auto"/>
          <w:bottom w:val="single" w:sz="4" w:space="1" w:color="auto"/>
          <w:right w:val="single" w:sz="4" w:space="4" w:color="auto"/>
        </w:pBdr>
        <w:rPr>
          <w:rFonts w:ascii="Calibri" w:hAnsi="Calibri"/>
          <w:b/>
          <w:lang w:val="en-US"/>
        </w:rPr>
      </w:pPr>
    </w:p>
    <w:p w:rsidR="00761792" w:rsidRPr="00E166B6" w:rsidRDefault="00761792" w:rsidP="00761792">
      <w:pPr>
        <w:autoSpaceDE w:val="0"/>
        <w:autoSpaceDN w:val="0"/>
        <w:adjustRightInd w:val="0"/>
        <w:jc w:val="both"/>
        <w:rPr>
          <w:rFonts w:ascii="Calibri" w:hAnsi="Calibri" w:cs="Calibri"/>
          <w:lang w:bidi="he-IL"/>
        </w:rPr>
      </w:pPr>
    </w:p>
    <w:p w:rsidR="00761792" w:rsidRPr="00E166B6" w:rsidRDefault="00761792" w:rsidP="00761792">
      <w:pPr>
        <w:jc w:val="both"/>
        <w:rPr>
          <w:rFonts w:ascii="Calibri" w:hAnsi="Calibri" w:cs="Calibri"/>
        </w:rPr>
      </w:pPr>
      <w:bookmarkStart w:id="0" w:name="_GoBack"/>
      <w:proofErr w:type="spellStart"/>
      <w:r w:rsidRPr="00E166B6">
        <w:rPr>
          <w:rFonts w:ascii="Calibri" w:hAnsi="Calibri" w:cs="Calibri"/>
        </w:rPr>
        <w:t>Tista</w:t>
      </w:r>
      <w:proofErr w:type="spellEnd"/>
      <w:r w:rsidRPr="00E166B6">
        <w:rPr>
          <w:rFonts w:ascii="Calibri" w:hAnsi="Calibri" w:cs="Calibri"/>
        </w:rPr>
        <w:t xml:space="preserve"> co-leads outreach services at the General Medical Council, providing leadership to a team who develop and deliver learning interventions for doctors and medical students.</w:t>
      </w:r>
    </w:p>
    <w:p w:rsidR="00761792" w:rsidRPr="00E166B6" w:rsidRDefault="00761792" w:rsidP="00761792">
      <w:pPr>
        <w:jc w:val="both"/>
        <w:rPr>
          <w:rFonts w:ascii="Calibri" w:hAnsi="Calibri" w:cs="Calibri"/>
          <w:lang w:eastAsia="en-GB"/>
        </w:rPr>
      </w:pPr>
      <w:r w:rsidRPr="00E166B6">
        <w:rPr>
          <w:rFonts w:ascii="Calibri" w:hAnsi="Calibri" w:cs="Calibri"/>
        </w:rPr>
        <w:t> </w:t>
      </w:r>
    </w:p>
    <w:p w:rsidR="00761792" w:rsidRPr="00E166B6" w:rsidRDefault="00761792" w:rsidP="00761792">
      <w:pPr>
        <w:jc w:val="both"/>
        <w:rPr>
          <w:rFonts w:ascii="Calibri" w:hAnsi="Calibri" w:cs="Calibri"/>
        </w:rPr>
      </w:pPr>
      <w:r w:rsidRPr="00E166B6">
        <w:rPr>
          <w:rFonts w:ascii="Calibri" w:hAnsi="Calibri" w:cs="Calibri"/>
        </w:rPr>
        <w:t xml:space="preserve">Prior to joining the GMC, </w:t>
      </w:r>
      <w:proofErr w:type="spellStart"/>
      <w:r w:rsidRPr="00E166B6">
        <w:rPr>
          <w:rFonts w:ascii="Calibri" w:hAnsi="Calibri" w:cs="Calibri"/>
        </w:rPr>
        <w:t>Tista</w:t>
      </w:r>
      <w:proofErr w:type="spellEnd"/>
      <w:r w:rsidRPr="00E166B6">
        <w:rPr>
          <w:rFonts w:ascii="Calibri" w:hAnsi="Calibri" w:cs="Calibri"/>
        </w:rPr>
        <w:t xml:space="preserve"> spent many years in stakeholder management, and worked with survivors of abuse, particularly in children’s and mental health support services. More recently she has worked on collaborative projects with national partners on end of life care and numerous regulatory partners on closer collaborative working.</w:t>
      </w:r>
    </w:p>
    <w:p w:rsidR="00761792" w:rsidRPr="00E166B6" w:rsidRDefault="00761792" w:rsidP="00761792">
      <w:pPr>
        <w:jc w:val="both"/>
        <w:rPr>
          <w:rFonts w:ascii="Calibri" w:hAnsi="Calibri" w:cs="Calibri"/>
        </w:rPr>
      </w:pPr>
      <w:r w:rsidRPr="00E166B6">
        <w:rPr>
          <w:rFonts w:ascii="Calibri" w:hAnsi="Calibri" w:cs="Calibri"/>
        </w:rPr>
        <w:t> </w:t>
      </w:r>
    </w:p>
    <w:p w:rsidR="00761792" w:rsidRDefault="00761792" w:rsidP="00761792">
      <w:pPr>
        <w:jc w:val="both"/>
        <w:rPr>
          <w:rFonts w:ascii="Calibri" w:hAnsi="Calibri" w:cs="Calibri"/>
        </w:rPr>
      </w:pPr>
      <w:proofErr w:type="spellStart"/>
      <w:r w:rsidRPr="00E166B6">
        <w:rPr>
          <w:rFonts w:ascii="Calibri" w:hAnsi="Calibri" w:cs="Calibri"/>
        </w:rPr>
        <w:t>Tista</w:t>
      </w:r>
      <w:proofErr w:type="spellEnd"/>
      <w:r w:rsidRPr="00E166B6">
        <w:rPr>
          <w:rFonts w:ascii="Calibri" w:hAnsi="Calibri" w:cs="Calibri"/>
        </w:rPr>
        <w:t xml:space="preserve"> is passionate about relational regulation and harm prevention and has particular interests in safeguarding</w:t>
      </w:r>
      <w:proofErr w:type="gramStart"/>
      <w:r w:rsidRPr="00E166B6">
        <w:rPr>
          <w:rFonts w:ascii="Calibri" w:hAnsi="Calibri" w:cs="Calibri"/>
        </w:rPr>
        <w:t>,  medical</w:t>
      </w:r>
      <w:proofErr w:type="gramEnd"/>
      <w:r w:rsidRPr="00E166B6">
        <w:rPr>
          <w:rFonts w:ascii="Calibri" w:hAnsi="Calibri" w:cs="Calibri"/>
        </w:rPr>
        <w:t xml:space="preserve"> lead</w:t>
      </w:r>
      <w:r>
        <w:rPr>
          <w:rFonts w:ascii="Calibri" w:hAnsi="Calibri" w:cs="Calibri"/>
        </w:rPr>
        <w:t>ership and quality improvement.</w:t>
      </w:r>
    </w:p>
    <w:p w:rsidR="00761792" w:rsidRPr="00E166B6" w:rsidRDefault="00761792" w:rsidP="00761792">
      <w:pPr>
        <w:jc w:val="both"/>
        <w:rPr>
          <w:rFonts w:ascii="Calibri" w:hAnsi="Calibri" w:cs="Calibri"/>
        </w:rPr>
      </w:pPr>
    </w:p>
    <w:p w:rsidR="00761792" w:rsidRPr="00E166B6" w:rsidRDefault="00761792" w:rsidP="00761792">
      <w:pPr>
        <w:autoSpaceDE w:val="0"/>
        <w:autoSpaceDN w:val="0"/>
        <w:adjustRightInd w:val="0"/>
        <w:spacing w:after="240"/>
        <w:jc w:val="both"/>
        <w:rPr>
          <w:rFonts w:ascii="Calibri" w:hAnsi="Calibri" w:cs="Calibri"/>
          <w:b/>
          <w:bCs/>
          <w:lang w:eastAsia="en-GB"/>
        </w:rPr>
      </w:pPr>
      <w:r w:rsidRPr="00E166B6">
        <w:rPr>
          <w:rFonts w:ascii="Calibri" w:hAnsi="Calibri" w:cs="Calibri"/>
          <w:b/>
          <w:bCs/>
        </w:rPr>
        <w:t>Overview:</w:t>
      </w:r>
    </w:p>
    <w:p w:rsidR="00761792" w:rsidRPr="00E166B6" w:rsidRDefault="00761792" w:rsidP="00761792">
      <w:pPr>
        <w:autoSpaceDE w:val="0"/>
        <w:autoSpaceDN w:val="0"/>
        <w:adjustRightInd w:val="0"/>
        <w:spacing w:after="240"/>
        <w:jc w:val="both"/>
        <w:rPr>
          <w:rFonts w:ascii="Calibri" w:hAnsi="Calibri" w:cs="Calibri"/>
        </w:rPr>
      </w:pPr>
      <w:r w:rsidRPr="00E166B6">
        <w:rPr>
          <w:rFonts w:ascii="Calibri" w:hAnsi="Calibri" w:cs="Calibri"/>
        </w:rPr>
        <w:t>The workshop will provide an overview of the GMC’s work, including upstream interventions to support international doctors new to UK practice. Delegates will consider the challenges, view some of the content and explore how the programmes can be expanded.</w:t>
      </w:r>
    </w:p>
    <w:p w:rsidR="00761792" w:rsidRPr="00E166B6" w:rsidRDefault="00761792" w:rsidP="00761792">
      <w:pPr>
        <w:autoSpaceDE w:val="0"/>
        <w:autoSpaceDN w:val="0"/>
        <w:adjustRightInd w:val="0"/>
        <w:spacing w:after="240"/>
        <w:jc w:val="both"/>
        <w:rPr>
          <w:rFonts w:ascii="Calibri" w:hAnsi="Calibri" w:cs="Calibri"/>
          <w:b/>
          <w:bCs/>
        </w:rPr>
      </w:pPr>
      <w:r w:rsidRPr="00E166B6">
        <w:rPr>
          <w:rFonts w:ascii="Calibri" w:hAnsi="Calibri" w:cs="Calibri"/>
          <w:b/>
          <w:bCs/>
        </w:rPr>
        <w:t>Background:</w:t>
      </w:r>
    </w:p>
    <w:p w:rsidR="00761792" w:rsidRPr="00E166B6" w:rsidRDefault="00761792" w:rsidP="00761792">
      <w:pPr>
        <w:autoSpaceDE w:val="0"/>
        <w:autoSpaceDN w:val="0"/>
        <w:adjustRightInd w:val="0"/>
        <w:spacing w:after="240"/>
        <w:jc w:val="both"/>
        <w:rPr>
          <w:rFonts w:ascii="Calibri" w:hAnsi="Calibri" w:cs="Calibri"/>
        </w:rPr>
      </w:pPr>
      <w:r w:rsidRPr="00E166B6">
        <w:rPr>
          <w:rFonts w:ascii="Calibri" w:hAnsi="Calibri" w:cs="Calibri"/>
        </w:rPr>
        <w:t xml:space="preserve">Entering UK medical practice can be hard for any doctor, regardless of where they’re from or how experienced they are. There can be significant differences in practising medicine in a doctor’s home country and the UK, and it can be difficult to adapt to working in a new culture. Delegates will examine the impact of these issues and explore the content of </w:t>
      </w:r>
      <w:r w:rsidRPr="00E166B6">
        <w:rPr>
          <w:rFonts w:ascii="Calibri" w:hAnsi="Calibri" w:cs="Calibri"/>
          <w:i/>
        </w:rPr>
        <w:t>Welcome to UK Practice,</w:t>
      </w:r>
      <w:r w:rsidRPr="00E166B6">
        <w:rPr>
          <w:rFonts w:ascii="Calibri" w:hAnsi="Calibri" w:cs="Calibri"/>
          <w:iCs/>
        </w:rPr>
        <w:t xml:space="preserve"> a</w:t>
      </w:r>
      <w:r w:rsidRPr="00E166B6">
        <w:rPr>
          <w:rFonts w:ascii="Calibri" w:hAnsi="Calibri" w:cs="Calibri"/>
          <w:i/>
        </w:rPr>
        <w:t xml:space="preserve"> </w:t>
      </w:r>
      <w:r w:rsidRPr="00E166B6">
        <w:rPr>
          <w:rFonts w:ascii="Calibri" w:eastAsia="Calibri" w:hAnsi="Calibri" w:cs="Calibri"/>
        </w:rPr>
        <w:t xml:space="preserve">free induction programme developed by the GMC that aims to address the challenge. </w:t>
      </w:r>
    </w:p>
    <w:p w:rsidR="00761792" w:rsidRPr="00E166B6" w:rsidRDefault="00761792" w:rsidP="00761792">
      <w:pPr>
        <w:jc w:val="both"/>
        <w:rPr>
          <w:rFonts w:ascii="Calibri" w:eastAsia="Calibri" w:hAnsi="Calibri" w:cs="Calibri"/>
        </w:rPr>
      </w:pPr>
      <w:r w:rsidRPr="00E166B6">
        <w:rPr>
          <w:rFonts w:ascii="Calibri" w:eastAsia="Calibri" w:hAnsi="Calibri" w:cs="Calibri"/>
        </w:rPr>
        <w:t>Delegates will also consider the impact of the programme by exploring findings from an independent evaluation from the University of Newcastle in 2018, which demonstrates that 3 months following the workshop, almost two-thirds (62%) of doctors reported that they had made changes to their practice as a result of what they learned.</w:t>
      </w:r>
    </w:p>
    <w:p w:rsidR="00761792" w:rsidRPr="00E166B6" w:rsidRDefault="00761792" w:rsidP="00761792">
      <w:pPr>
        <w:jc w:val="both"/>
        <w:rPr>
          <w:rFonts w:ascii="Calibri" w:eastAsia="Calibri" w:hAnsi="Calibri" w:cs="Calibri"/>
        </w:rPr>
      </w:pPr>
    </w:p>
    <w:p w:rsidR="00761792" w:rsidRPr="00E166B6" w:rsidRDefault="00761792" w:rsidP="00761792">
      <w:pPr>
        <w:jc w:val="both"/>
        <w:rPr>
          <w:rFonts w:ascii="Calibri" w:hAnsi="Calibri" w:cs="Calibri"/>
        </w:rPr>
      </w:pPr>
      <w:r w:rsidRPr="00E166B6">
        <w:rPr>
          <w:rFonts w:ascii="Calibri" w:eastAsia="Calibri" w:hAnsi="Calibri" w:cs="Calibri"/>
        </w:rPr>
        <w:t xml:space="preserve">Finally, working in small groups, delegates will brainstorm how organisations can work together to support doctors new to UK practice. </w:t>
      </w:r>
    </w:p>
    <w:p w:rsidR="00761792" w:rsidRPr="00E166B6" w:rsidRDefault="00761792" w:rsidP="00761792">
      <w:pPr>
        <w:jc w:val="both"/>
        <w:rPr>
          <w:rFonts w:ascii="Calibri" w:hAnsi="Calibri" w:cs="Calibri"/>
        </w:rPr>
      </w:pPr>
    </w:p>
    <w:p w:rsidR="00761792" w:rsidRPr="00E166B6" w:rsidRDefault="00761792" w:rsidP="00761792">
      <w:pPr>
        <w:jc w:val="both"/>
        <w:rPr>
          <w:rFonts w:ascii="Calibri" w:hAnsi="Calibri" w:cs="Calibri"/>
        </w:rPr>
      </w:pPr>
      <w:r w:rsidRPr="00E166B6">
        <w:rPr>
          <w:rFonts w:ascii="Calibri" w:hAnsi="Calibri" w:cs="Calibri"/>
        </w:rPr>
        <w:t>Delegates will:</w:t>
      </w:r>
    </w:p>
    <w:p w:rsidR="00761792" w:rsidRPr="00E166B6" w:rsidRDefault="00761792" w:rsidP="00761792">
      <w:pPr>
        <w:jc w:val="both"/>
        <w:rPr>
          <w:rFonts w:ascii="Calibri" w:hAnsi="Calibri" w:cs="Calibri"/>
        </w:rPr>
      </w:pPr>
    </w:p>
    <w:p w:rsidR="00761792" w:rsidRPr="00E166B6" w:rsidRDefault="00761792" w:rsidP="00761792">
      <w:pPr>
        <w:pStyle w:val="ListParagraph"/>
        <w:numPr>
          <w:ilvl w:val="0"/>
          <w:numId w:val="1"/>
        </w:numPr>
        <w:contextualSpacing/>
        <w:jc w:val="both"/>
        <w:rPr>
          <w:rFonts w:ascii="Calibri" w:hAnsi="Calibri" w:cs="Calibri"/>
        </w:rPr>
      </w:pPr>
      <w:r w:rsidRPr="00E166B6">
        <w:rPr>
          <w:rFonts w:ascii="Calibri" w:hAnsi="Calibri" w:cs="Calibri"/>
        </w:rPr>
        <w:t>Examine the challenges for overseas doctors new to UK practice</w:t>
      </w:r>
    </w:p>
    <w:p w:rsidR="00761792" w:rsidRPr="00E166B6" w:rsidRDefault="00761792" w:rsidP="00761792">
      <w:pPr>
        <w:pStyle w:val="ListParagraph"/>
        <w:numPr>
          <w:ilvl w:val="0"/>
          <w:numId w:val="1"/>
        </w:numPr>
        <w:contextualSpacing/>
        <w:jc w:val="both"/>
        <w:rPr>
          <w:rFonts w:ascii="Calibri" w:hAnsi="Calibri" w:cs="Calibri"/>
        </w:rPr>
      </w:pPr>
      <w:r w:rsidRPr="00E166B6">
        <w:rPr>
          <w:rFonts w:ascii="Calibri" w:hAnsi="Calibri" w:cs="Calibri"/>
        </w:rPr>
        <w:t xml:space="preserve">Learn about the barriers and enablers to engaging in an induction </w:t>
      </w:r>
      <w:proofErr w:type="spellStart"/>
      <w:r w:rsidRPr="00E166B6">
        <w:rPr>
          <w:rFonts w:ascii="Calibri" w:hAnsi="Calibri" w:cs="Calibri"/>
        </w:rPr>
        <w:t>programme</w:t>
      </w:r>
      <w:proofErr w:type="spellEnd"/>
    </w:p>
    <w:p w:rsidR="00761792" w:rsidRPr="00E166B6" w:rsidRDefault="00761792" w:rsidP="00761792">
      <w:pPr>
        <w:pStyle w:val="ListParagraph"/>
        <w:numPr>
          <w:ilvl w:val="0"/>
          <w:numId w:val="1"/>
        </w:numPr>
        <w:contextualSpacing/>
        <w:jc w:val="both"/>
        <w:rPr>
          <w:rFonts w:ascii="Calibri" w:hAnsi="Calibri" w:cs="Calibri"/>
        </w:rPr>
      </w:pPr>
      <w:r w:rsidRPr="00E166B6">
        <w:rPr>
          <w:rFonts w:ascii="Calibri" w:hAnsi="Calibri" w:cs="Calibri"/>
        </w:rPr>
        <w:t xml:space="preserve">Explore headlines from the Newcastle University’s independent evaluation and the factors identified to increase the success of </w:t>
      </w:r>
      <w:r w:rsidRPr="00E166B6">
        <w:rPr>
          <w:rFonts w:ascii="Calibri" w:hAnsi="Calibri" w:cs="Calibri"/>
          <w:i/>
          <w:iCs/>
        </w:rPr>
        <w:t>Welcome to UK Practice</w:t>
      </w:r>
    </w:p>
    <w:p w:rsidR="00761792" w:rsidRPr="00E166B6" w:rsidRDefault="00761792" w:rsidP="00761792">
      <w:pPr>
        <w:pStyle w:val="ListParagraph"/>
        <w:numPr>
          <w:ilvl w:val="0"/>
          <w:numId w:val="1"/>
        </w:numPr>
        <w:contextualSpacing/>
        <w:jc w:val="both"/>
        <w:rPr>
          <w:rFonts w:ascii="Calibri" w:eastAsia="Times New Roman" w:hAnsi="Calibri" w:cs="Calibri"/>
        </w:rPr>
      </w:pPr>
      <w:r w:rsidRPr="00E166B6">
        <w:rPr>
          <w:rFonts w:ascii="Calibri" w:hAnsi="Calibri" w:cs="Calibri"/>
        </w:rPr>
        <w:lastRenderedPageBreak/>
        <w:t xml:space="preserve">Understand how </w:t>
      </w:r>
      <w:proofErr w:type="spellStart"/>
      <w:r w:rsidRPr="00E166B6">
        <w:rPr>
          <w:rFonts w:ascii="Calibri" w:hAnsi="Calibri" w:cs="Calibri"/>
        </w:rPr>
        <w:t>organisations</w:t>
      </w:r>
      <w:proofErr w:type="spellEnd"/>
      <w:r w:rsidRPr="00E166B6">
        <w:rPr>
          <w:rFonts w:ascii="Calibri" w:hAnsi="Calibri" w:cs="Calibri"/>
        </w:rPr>
        <w:t xml:space="preserve"> can work collaboratively to support overseas doctors new to UK practice</w:t>
      </w:r>
    </w:p>
    <w:p w:rsidR="00761792" w:rsidRPr="00E166B6" w:rsidRDefault="00761792" w:rsidP="00761792">
      <w:pPr>
        <w:jc w:val="both"/>
        <w:rPr>
          <w:rFonts w:ascii="Calibri" w:hAnsi="Calibri" w:cs="Calibri"/>
        </w:rPr>
      </w:pPr>
    </w:p>
    <w:p w:rsidR="00761792" w:rsidRPr="00E166B6" w:rsidRDefault="00761792" w:rsidP="00761792">
      <w:pPr>
        <w:jc w:val="both"/>
        <w:rPr>
          <w:rFonts w:ascii="Calibri" w:hAnsi="Calibri" w:cs="Calibri"/>
        </w:rPr>
      </w:pPr>
      <w:r w:rsidRPr="00E166B6">
        <w:rPr>
          <w:rFonts w:ascii="Calibri" w:hAnsi="Calibri" w:cs="Calibri"/>
        </w:rPr>
        <w:t>References:</w:t>
      </w:r>
    </w:p>
    <w:p w:rsidR="00761792" w:rsidRPr="00E166B6" w:rsidRDefault="00761792" w:rsidP="00761792">
      <w:pPr>
        <w:jc w:val="both"/>
        <w:rPr>
          <w:rFonts w:ascii="Calibri" w:hAnsi="Calibri" w:cs="Calibri"/>
        </w:rPr>
      </w:pPr>
    </w:p>
    <w:p w:rsidR="00761792" w:rsidRPr="00E166B6" w:rsidRDefault="003274B6" w:rsidP="00761792">
      <w:pPr>
        <w:jc w:val="both"/>
        <w:rPr>
          <w:rFonts w:ascii="Calibri" w:hAnsi="Calibri" w:cs="Calibri"/>
          <w:i/>
          <w:iCs/>
        </w:rPr>
      </w:pPr>
      <w:hyperlink r:id="rId6" w:history="1">
        <w:r w:rsidR="00761792" w:rsidRPr="00E166B6">
          <w:rPr>
            <w:rStyle w:val="Hyperlink"/>
            <w:rFonts w:ascii="Calibri" w:hAnsi="Calibri" w:cs="Calibri"/>
            <w:i/>
            <w:iCs/>
          </w:rPr>
          <w:t>Welcome to UK Practice programme</w:t>
        </w:r>
      </w:hyperlink>
    </w:p>
    <w:p w:rsidR="00761792" w:rsidRPr="00E166B6" w:rsidRDefault="00761792" w:rsidP="00761792">
      <w:pPr>
        <w:jc w:val="both"/>
        <w:rPr>
          <w:rFonts w:ascii="Calibri" w:hAnsi="Calibri" w:cs="Calibri"/>
          <w:i/>
          <w:iCs/>
        </w:rPr>
      </w:pPr>
    </w:p>
    <w:p w:rsidR="00761792" w:rsidRPr="00E166B6" w:rsidRDefault="003274B6" w:rsidP="00761792">
      <w:pPr>
        <w:jc w:val="both"/>
        <w:rPr>
          <w:rFonts w:ascii="Calibri" w:hAnsi="Calibri" w:cs="Calibri"/>
          <w:i/>
          <w:iCs/>
        </w:rPr>
      </w:pPr>
      <w:hyperlink r:id="rId7" w:history="1">
        <w:r w:rsidR="00761792" w:rsidRPr="00E166B6">
          <w:rPr>
            <w:rStyle w:val="Hyperlink"/>
            <w:rFonts w:ascii="Calibri" w:hAnsi="Calibri" w:cs="Calibri"/>
            <w:i/>
            <w:iCs/>
          </w:rPr>
          <w:t>Independent evaluation of Welcome to UK Practice</w:t>
        </w:r>
      </w:hyperlink>
    </w:p>
    <w:p w:rsidR="00761792" w:rsidRPr="00E166B6" w:rsidRDefault="00761792" w:rsidP="00761792">
      <w:pPr>
        <w:jc w:val="both"/>
        <w:rPr>
          <w:rFonts w:ascii="Calibri" w:hAnsi="Calibri" w:cs="Calibri"/>
        </w:rPr>
      </w:pPr>
    </w:p>
    <w:p w:rsidR="00761792" w:rsidRDefault="003274B6" w:rsidP="00761792">
      <w:pPr>
        <w:jc w:val="both"/>
        <w:rPr>
          <w:rStyle w:val="Hyperlink"/>
          <w:rFonts w:ascii="Calibri" w:hAnsi="Calibri" w:cs="Calibri"/>
          <w:i/>
          <w:iCs/>
        </w:rPr>
      </w:pPr>
      <w:hyperlink r:id="rId8" w:history="1">
        <w:r w:rsidR="00761792" w:rsidRPr="00E166B6">
          <w:rPr>
            <w:rStyle w:val="Hyperlink"/>
            <w:rFonts w:ascii="Calibri" w:hAnsi="Calibri" w:cs="Calibri"/>
            <w:i/>
            <w:iCs/>
          </w:rPr>
          <w:t>Fair to refer?</w:t>
        </w:r>
      </w:hyperlink>
    </w:p>
    <w:p w:rsidR="003274B6" w:rsidRDefault="003274B6" w:rsidP="003274B6">
      <w:pPr>
        <w:jc w:val="both"/>
        <w:rPr>
          <w:rStyle w:val="Hyperlink"/>
          <w:rFonts w:ascii="Calibri" w:hAnsi="Calibri" w:cs="Calibri"/>
          <w:i/>
          <w:iCs/>
        </w:rPr>
      </w:pPr>
    </w:p>
    <w:p w:rsidR="003274B6" w:rsidRDefault="003274B6" w:rsidP="003274B6">
      <w:pPr>
        <w:rPr>
          <w:rFonts w:ascii="Calibri" w:hAnsi="Calibri"/>
          <w:b/>
          <w:lang w:val="en-US"/>
        </w:rPr>
      </w:pPr>
      <w:hyperlink r:id="rId9" w:history="1">
        <w:r w:rsidRPr="005A0EB2">
          <w:rPr>
            <w:rStyle w:val="Hyperlink"/>
            <w:rFonts w:ascii="Calibri" w:hAnsi="Calibri"/>
            <w:b/>
            <w:lang w:val="en-US"/>
          </w:rPr>
          <w:t>tcgannon@gmc-uk.org</w:t>
        </w:r>
      </w:hyperlink>
    </w:p>
    <w:p w:rsidR="003274B6" w:rsidRDefault="003274B6" w:rsidP="003274B6">
      <w:pPr>
        <w:rPr>
          <w:rFonts w:ascii="Calibri" w:hAnsi="Calibri"/>
          <w:b/>
          <w:lang w:val="en-US"/>
        </w:rPr>
      </w:pPr>
      <w:r>
        <w:rPr>
          <w:rFonts w:ascii="Calibri" w:hAnsi="Calibri"/>
          <w:b/>
          <w:lang w:val="en-US"/>
        </w:rPr>
        <w:t xml:space="preserve">Twitter: </w:t>
      </w:r>
      <w:r w:rsidRPr="00290B6A">
        <w:rPr>
          <w:rFonts w:ascii="Calibri" w:hAnsi="Calibri"/>
          <w:b/>
          <w:lang w:val="en-US"/>
        </w:rPr>
        <w:t>@</w:t>
      </w:r>
      <w:proofErr w:type="spellStart"/>
      <w:r w:rsidRPr="00290B6A">
        <w:rPr>
          <w:rFonts w:ascii="Calibri" w:hAnsi="Calibri"/>
          <w:b/>
          <w:lang w:val="en-US"/>
        </w:rPr>
        <w:t>tcgannon</w:t>
      </w:r>
      <w:proofErr w:type="spellEnd"/>
    </w:p>
    <w:p w:rsidR="003274B6" w:rsidRPr="00E166B6" w:rsidRDefault="003274B6" w:rsidP="003274B6">
      <w:pPr>
        <w:jc w:val="both"/>
        <w:rPr>
          <w:rFonts w:ascii="Calibri" w:hAnsi="Calibri" w:cs="Calibri"/>
          <w:i/>
          <w:iCs/>
        </w:rPr>
      </w:pPr>
    </w:p>
    <w:p w:rsidR="00761792" w:rsidRPr="00E166B6" w:rsidRDefault="00761792" w:rsidP="003274B6">
      <w:pPr>
        <w:jc w:val="both"/>
        <w:rPr>
          <w:rFonts w:ascii="Calibri" w:hAnsi="Calibri" w:cs="Calibri"/>
        </w:rPr>
      </w:pPr>
    </w:p>
    <w:bookmarkEnd w:id="0"/>
    <w:p w:rsidR="00761792" w:rsidRDefault="00761792" w:rsidP="003274B6">
      <w:pPr>
        <w:autoSpaceDE w:val="0"/>
        <w:autoSpaceDN w:val="0"/>
        <w:adjustRightInd w:val="0"/>
        <w:rPr>
          <w:rFonts w:ascii="Calibri" w:hAnsi="Calibri" w:cs="Microsoft Sans Serif"/>
          <w:color w:val="000000"/>
          <w:lang w:bidi="he-IL"/>
        </w:rPr>
      </w:pPr>
    </w:p>
    <w:p w:rsidR="005D187C" w:rsidRDefault="005D187C"/>
    <w:sectPr w:rsidR="005D1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83F83"/>
    <w:multiLevelType w:val="hybridMultilevel"/>
    <w:tmpl w:val="98F21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4C"/>
    <w:rsid w:val="00163F4C"/>
    <w:rsid w:val="003274B6"/>
    <w:rsid w:val="005D187C"/>
    <w:rsid w:val="0076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EED9"/>
  <w15:chartTrackingRefBased/>
  <w15:docId w15:val="{25D8A06B-7081-47CC-9FA7-020DAB4C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1792"/>
    <w:rPr>
      <w:color w:val="0000FF"/>
      <w:u w:val="single"/>
    </w:rPr>
  </w:style>
  <w:style w:type="paragraph" w:styleId="ListParagraph">
    <w:name w:val="List Paragraph"/>
    <w:basedOn w:val="Normal"/>
    <w:uiPriority w:val="34"/>
    <w:qFormat/>
    <w:rsid w:val="00761792"/>
    <w:pPr>
      <w:ind w:left="720"/>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c-uk.org/about/what-we-do-and-why/data-and-research/research-and-insight-archive/fair-to-refer" TargetMode="External"/><Relationship Id="rId3" Type="http://schemas.openxmlformats.org/officeDocument/2006/relationships/settings" Target="settings.xml"/><Relationship Id="rId7" Type="http://schemas.openxmlformats.org/officeDocument/2006/relationships/hyperlink" Target="https://www.gmc-uk.org/about/what-we-do-and-why/data-and-research/research-and-insight-archive/evaluation-of-welcome-to-uk-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mc-uk.org/about/what-we-do-and-why/learning-and-support/workshops-for-doctors/welcome-to-uk-practice/trainers-or-supervisors" TargetMode="External"/><Relationship Id="rId11" Type="http://schemas.openxmlformats.org/officeDocument/2006/relationships/theme" Target="theme/theme1.xml"/><Relationship Id="rId5" Type="http://schemas.openxmlformats.org/officeDocument/2006/relationships/hyperlink" Target="mailto:tcgannon@gmc-uk.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cgannon@gm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Clare Gallagher</cp:lastModifiedBy>
  <cp:revision>3</cp:revision>
  <dcterms:created xsi:type="dcterms:W3CDTF">2020-08-19T14:50:00Z</dcterms:created>
  <dcterms:modified xsi:type="dcterms:W3CDTF">2020-08-20T18:18:00Z</dcterms:modified>
</cp:coreProperties>
</file>