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AE6" w:rsidRDefault="00967AE6" w:rsidP="00967AE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212121"/>
          <w:sz w:val="36"/>
          <w:szCs w:val="36"/>
          <w:lang w:eastAsia="en-GB"/>
        </w:rPr>
      </w:pPr>
      <w:r w:rsidRPr="00967AE6">
        <w:rPr>
          <w:rFonts w:ascii="Georgia" w:eastAsia="Times New Roman" w:hAnsi="Georgia" w:cs="Times New Roman"/>
          <w:b/>
          <w:bCs/>
          <w:color w:val="212121"/>
          <w:sz w:val="36"/>
          <w:szCs w:val="36"/>
          <w:lang w:eastAsia="en-GB"/>
        </w:rPr>
        <w:t>Abstract</w:t>
      </w:r>
    </w:p>
    <w:p w:rsidR="00967AE6" w:rsidRDefault="00967AE6" w:rsidP="00967AE6">
      <w:pPr>
        <w:pStyle w:val="Heading1"/>
        <w:shd w:val="clear" w:color="auto" w:fill="FFFFFF"/>
        <w:rPr>
          <w:rFonts w:ascii="Georgia" w:hAnsi="Georgia"/>
          <w:color w:val="212121"/>
        </w:rPr>
      </w:pPr>
      <w:r>
        <w:rPr>
          <w:rFonts w:ascii="Georgia" w:hAnsi="Georgia"/>
          <w:color w:val="212121"/>
        </w:rPr>
        <w:t>COVID-19 pandemic and hip fractures: impact and lessons learned</w:t>
      </w:r>
    </w:p>
    <w:p w:rsidR="00967AE6" w:rsidRDefault="00967AE6" w:rsidP="00967AE6">
      <w:pPr>
        <w:shd w:val="clear" w:color="auto" w:fill="FFFFFF"/>
        <w:rPr>
          <w:rFonts w:ascii="Segoe UI" w:hAnsi="Segoe UI" w:cs="Segoe UI"/>
          <w:color w:val="5B616B"/>
        </w:rPr>
      </w:pPr>
      <w:r w:rsidRPr="00967AE6">
        <w:rPr>
          <w:rStyle w:val="authors-list-item"/>
          <w:rFonts w:ascii="Segoe UI" w:hAnsi="Segoe UI" w:cs="Segoe UI"/>
          <w:color w:val="5B616B"/>
        </w:rPr>
        <w:t>Mohamed Arafa</w:t>
      </w:r>
      <w:r>
        <w:rPr>
          <w:rStyle w:val="author-sup-separator"/>
          <w:rFonts w:ascii="Segoe UI" w:hAnsi="Segoe UI" w:cs="Segoe UI"/>
          <w:color w:val="5B616B"/>
          <w:sz w:val="18"/>
          <w:szCs w:val="18"/>
          <w:vertAlign w:val="superscript"/>
        </w:rPr>
        <w:t> </w:t>
      </w:r>
      <w:r w:rsidRPr="00967AE6">
        <w:rPr>
          <w:rStyle w:val="authors-list-item"/>
          <w:rFonts w:ascii="Segoe UI" w:hAnsi="Segoe UI" w:cs="Segoe UI"/>
          <w:color w:val="5B616B"/>
          <w:sz w:val="18"/>
          <w:szCs w:val="18"/>
          <w:shd w:val="clear" w:color="auto" w:fill="F1F1F1"/>
          <w:vertAlign w:val="superscript"/>
        </w:rPr>
        <w:t>1</w:t>
      </w:r>
      <w:r>
        <w:rPr>
          <w:rStyle w:val="comma"/>
          <w:rFonts w:ascii="Segoe UI" w:hAnsi="Segoe UI" w:cs="Segoe UI"/>
          <w:color w:val="5B616B"/>
        </w:rPr>
        <w:t>, </w:t>
      </w:r>
      <w:r w:rsidRPr="00967AE6">
        <w:rPr>
          <w:rStyle w:val="authors-list-item"/>
          <w:rFonts w:ascii="Segoe UI" w:hAnsi="Segoe UI" w:cs="Segoe UI"/>
          <w:color w:val="5B616B"/>
        </w:rPr>
        <w:t>Samia Nesar</w:t>
      </w:r>
      <w:r>
        <w:rPr>
          <w:rStyle w:val="author-sup-separator"/>
          <w:rFonts w:ascii="Segoe UI" w:hAnsi="Segoe UI" w:cs="Segoe UI"/>
          <w:color w:val="5B616B"/>
          <w:sz w:val="18"/>
          <w:szCs w:val="18"/>
          <w:vertAlign w:val="superscript"/>
        </w:rPr>
        <w:t> </w:t>
      </w:r>
      <w:r w:rsidRPr="00967AE6">
        <w:rPr>
          <w:rStyle w:val="authors-list-item"/>
          <w:rFonts w:ascii="Segoe UI" w:hAnsi="Segoe UI" w:cs="Segoe UI"/>
          <w:color w:val="5B616B"/>
          <w:sz w:val="18"/>
          <w:szCs w:val="18"/>
          <w:shd w:val="clear" w:color="auto" w:fill="F1F1F1"/>
          <w:vertAlign w:val="superscript"/>
        </w:rPr>
        <w:t>1</w:t>
      </w:r>
      <w:r>
        <w:rPr>
          <w:rStyle w:val="comma"/>
          <w:rFonts w:ascii="Segoe UI" w:hAnsi="Segoe UI" w:cs="Segoe UI"/>
          <w:color w:val="5B616B"/>
        </w:rPr>
        <w:t>, </w:t>
      </w:r>
      <w:r w:rsidRPr="00967AE6">
        <w:rPr>
          <w:rStyle w:val="authors-list-item"/>
          <w:rFonts w:ascii="Segoe UI" w:hAnsi="Segoe UI" w:cs="Segoe UI"/>
          <w:color w:val="5B616B"/>
        </w:rPr>
        <w:t>Hamza Abu-Jabeh</w:t>
      </w:r>
      <w:r>
        <w:rPr>
          <w:rStyle w:val="author-sup-separator"/>
          <w:rFonts w:ascii="Segoe UI" w:hAnsi="Segoe UI" w:cs="Segoe UI"/>
          <w:color w:val="5B616B"/>
          <w:sz w:val="18"/>
          <w:szCs w:val="18"/>
          <w:vertAlign w:val="superscript"/>
        </w:rPr>
        <w:t> </w:t>
      </w:r>
      <w:r w:rsidRPr="00967AE6">
        <w:rPr>
          <w:rStyle w:val="authors-list-item"/>
          <w:rFonts w:ascii="Segoe UI" w:hAnsi="Segoe UI" w:cs="Segoe UI"/>
          <w:color w:val="5B616B"/>
          <w:sz w:val="18"/>
          <w:szCs w:val="18"/>
          <w:shd w:val="clear" w:color="auto" w:fill="F1F1F1"/>
          <w:vertAlign w:val="superscript"/>
        </w:rPr>
        <w:t>1</w:t>
      </w:r>
      <w:r>
        <w:rPr>
          <w:rStyle w:val="comma"/>
          <w:rFonts w:ascii="Segoe UI" w:hAnsi="Segoe UI" w:cs="Segoe UI"/>
          <w:color w:val="5B616B"/>
        </w:rPr>
        <w:t>, </w:t>
      </w:r>
      <w:r w:rsidRPr="00967AE6">
        <w:rPr>
          <w:rStyle w:val="authors-list-item"/>
          <w:rFonts w:ascii="Segoe UI" w:hAnsi="Segoe UI" w:cs="Segoe UI"/>
          <w:color w:val="5B616B"/>
        </w:rPr>
        <w:t xml:space="preserve">Ma Odette </w:t>
      </w:r>
      <w:proofErr w:type="spellStart"/>
      <w:r w:rsidRPr="00967AE6">
        <w:rPr>
          <w:rStyle w:val="authors-list-item"/>
          <w:rFonts w:ascii="Segoe UI" w:hAnsi="Segoe UI" w:cs="Segoe UI"/>
          <w:color w:val="5B616B"/>
        </w:rPr>
        <w:t>Remelou</w:t>
      </w:r>
      <w:proofErr w:type="spellEnd"/>
      <w:r w:rsidRPr="00967AE6">
        <w:rPr>
          <w:rStyle w:val="authors-list-item"/>
          <w:rFonts w:ascii="Segoe UI" w:hAnsi="Segoe UI" w:cs="Segoe UI"/>
          <w:color w:val="5B616B"/>
        </w:rPr>
        <w:t xml:space="preserve"> Jayme</w:t>
      </w:r>
      <w:r>
        <w:rPr>
          <w:rStyle w:val="author-sup-separator"/>
          <w:rFonts w:ascii="Segoe UI" w:hAnsi="Segoe UI" w:cs="Segoe UI"/>
          <w:color w:val="5B616B"/>
          <w:sz w:val="18"/>
          <w:szCs w:val="18"/>
          <w:vertAlign w:val="superscript"/>
        </w:rPr>
        <w:t> </w:t>
      </w:r>
      <w:r w:rsidRPr="00967AE6">
        <w:rPr>
          <w:rStyle w:val="authors-list-item"/>
          <w:rFonts w:ascii="Segoe UI" w:hAnsi="Segoe UI" w:cs="Segoe UI"/>
          <w:color w:val="5B616B"/>
          <w:sz w:val="18"/>
          <w:szCs w:val="18"/>
          <w:shd w:val="clear" w:color="auto" w:fill="F1F1F1"/>
          <w:vertAlign w:val="superscript"/>
        </w:rPr>
        <w:t>1</w:t>
      </w:r>
      <w:r>
        <w:rPr>
          <w:rStyle w:val="comma"/>
          <w:rFonts w:ascii="Segoe UI" w:hAnsi="Segoe UI" w:cs="Segoe UI"/>
          <w:color w:val="5B616B"/>
        </w:rPr>
        <w:t>, </w:t>
      </w:r>
      <w:r w:rsidRPr="00967AE6">
        <w:rPr>
          <w:rStyle w:val="authors-list-item"/>
          <w:rFonts w:ascii="Segoe UI" w:hAnsi="Segoe UI" w:cs="Segoe UI"/>
          <w:color w:val="5B616B"/>
        </w:rPr>
        <w:t>Yegappan Kalairajah</w:t>
      </w:r>
      <w:r>
        <w:rPr>
          <w:rStyle w:val="author-sup-separator"/>
          <w:rFonts w:ascii="Segoe UI" w:hAnsi="Segoe UI" w:cs="Segoe UI"/>
          <w:color w:val="5B616B"/>
          <w:sz w:val="18"/>
          <w:szCs w:val="18"/>
          <w:vertAlign w:val="superscript"/>
        </w:rPr>
        <w:t> </w:t>
      </w:r>
      <w:r w:rsidRPr="00967AE6">
        <w:rPr>
          <w:rStyle w:val="authors-list-item"/>
          <w:rFonts w:ascii="Segoe UI" w:hAnsi="Segoe UI" w:cs="Segoe UI"/>
          <w:color w:val="5B616B"/>
          <w:sz w:val="18"/>
          <w:szCs w:val="18"/>
          <w:shd w:val="clear" w:color="auto" w:fill="F1F1F1"/>
          <w:vertAlign w:val="superscript"/>
        </w:rPr>
        <w:t>1</w:t>
      </w:r>
    </w:p>
    <w:p w:rsidR="00967AE6" w:rsidRPr="00967AE6" w:rsidRDefault="00967AE6" w:rsidP="00967AE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</w:pPr>
      <w:r w:rsidRPr="00967AE6">
        <w:rPr>
          <w:rFonts w:ascii="Segoe UI" w:eastAsia="Times New Roman" w:hAnsi="Segoe UI" w:cs="Segoe UI"/>
          <w:b/>
          <w:bCs/>
          <w:color w:val="212121"/>
          <w:sz w:val="24"/>
          <w:szCs w:val="24"/>
          <w:lang w:eastAsia="en-GB"/>
        </w:rPr>
        <w:t>Aims: </w:t>
      </w:r>
      <w:r w:rsidRPr="00967AE6"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  <w:t>The coronavirus disease (COVID)-19 pandemic forced an unprecedented period of challenge to the NHS in the UK where hip fractures in the elderly population are a major public health concern. There are approximately 76,000 hip fractures in the UK each year which make up a substantial proportion of the trauma workload of an average orthopaedic unit. This study aims to assess the impact of the COVID-19 pandemic on hip fracture care service and the emerging lessons to withstand any future outbreaks.</w:t>
      </w:r>
    </w:p>
    <w:p w:rsidR="00967AE6" w:rsidRPr="00967AE6" w:rsidRDefault="00967AE6" w:rsidP="00967AE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</w:pPr>
      <w:r w:rsidRPr="00967AE6">
        <w:rPr>
          <w:rFonts w:ascii="Segoe UI" w:eastAsia="Times New Roman" w:hAnsi="Segoe UI" w:cs="Segoe UI"/>
          <w:b/>
          <w:bCs/>
          <w:color w:val="212121"/>
          <w:sz w:val="24"/>
          <w:szCs w:val="24"/>
          <w:lang w:eastAsia="en-GB"/>
        </w:rPr>
        <w:t>Methods: </w:t>
      </w:r>
      <w:r w:rsidRPr="00967AE6"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  <w:t>Data were collected retrospectively on 157 hip fractures admitted from March to May 2019 and 2020. The 2020 group was further subdivided into COVID-positive and COVID-negative. Data including the four-hour target, timing to imaging, hours to operation, anaesthetic and operative details, intraoperative complications, postoperative reviews, COVID status, Key Performance Indicators (KPIs), length of stay, postoperative complications, and the 30-day mortality were compiled from computer records and our local National Hip Fracture Database (NHFD) export data.</w:t>
      </w:r>
    </w:p>
    <w:p w:rsidR="00967AE6" w:rsidRPr="00967AE6" w:rsidRDefault="00967AE6" w:rsidP="00967AE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</w:pPr>
      <w:r w:rsidRPr="00967AE6">
        <w:rPr>
          <w:rFonts w:ascii="Segoe UI" w:eastAsia="Times New Roman" w:hAnsi="Segoe UI" w:cs="Segoe UI"/>
          <w:b/>
          <w:bCs/>
          <w:color w:val="212121"/>
          <w:sz w:val="24"/>
          <w:szCs w:val="24"/>
          <w:lang w:eastAsia="en-GB"/>
        </w:rPr>
        <w:t>Results: </w:t>
      </w:r>
      <w:r w:rsidRPr="00967AE6"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  <w:t>Hip fractures and inpatient falls significantly increased by 61.7% and 7.2% respectively in the 2020 group. A significant difference was found among the three groups regarding anaesthetic preparation time, anaesthetic time, and recovery time. The mortality rate in the 2020 COVID-positive group (36.8%) was significantly higher than both the 2020 COVID-negative and 2019 groups (11.5% and 11.7% respectively). The hospital stay was significantly higher in the COVID-positive group (mean of 24.21 days (SD 19.29)).</w:t>
      </w:r>
    </w:p>
    <w:p w:rsidR="00967AE6" w:rsidRDefault="00967AE6" w:rsidP="00967AE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</w:pPr>
      <w:r w:rsidRPr="00967AE6">
        <w:rPr>
          <w:rFonts w:ascii="Segoe UI" w:eastAsia="Times New Roman" w:hAnsi="Segoe UI" w:cs="Segoe UI"/>
          <w:b/>
          <w:bCs/>
          <w:color w:val="212121"/>
          <w:sz w:val="24"/>
          <w:szCs w:val="24"/>
          <w:lang w:eastAsia="en-GB"/>
        </w:rPr>
        <w:t>Conclusion: </w:t>
      </w:r>
      <w:r w:rsidRPr="00967AE6"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  <w:t>COVID-19 has had notable effects on the hip fracture care service: hip fracture rates increased significantly. There were inefficiencies in theatre processes for which we have recommended the use of alternate theatres. COVID-19 infection increased the 30-day mortality and hospital stay in hip fractures. More research needs to be done to reduce this risk.</w:t>
      </w:r>
    </w:p>
    <w:p w:rsidR="00967AE6" w:rsidRPr="00967AE6" w:rsidRDefault="00967AE6" w:rsidP="00967AE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</w:pPr>
      <w:r w:rsidRPr="00967AE6"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  <w:t>Cite this article: </w:t>
      </w:r>
      <w:r w:rsidRPr="00967AE6">
        <w:rPr>
          <w:rFonts w:ascii="Segoe UI" w:eastAsia="Times New Roman" w:hAnsi="Segoe UI" w:cs="Segoe UI"/>
          <w:i/>
          <w:iCs/>
          <w:color w:val="212121"/>
          <w:sz w:val="24"/>
          <w:szCs w:val="24"/>
          <w:lang w:eastAsia="en-GB"/>
        </w:rPr>
        <w:t>Bone Joint Open</w:t>
      </w:r>
      <w:r w:rsidRPr="00967AE6"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  <w:t> 2020</w:t>
      </w:r>
      <w:proofErr w:type="gramStart"/>
      <w:r w:rsidRPr="00967AE6"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  <w:t>;1</w:t>
      </w:r>
      <w:proofErr w:type="gramEnd"/>
      <w:r w:rsidRPr="00967AE6"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  <w:t>-9:530-540.</w:t>
      </w:r>
    </w:p>
    <w:p w:rsidR="0032485E" w:rsidRDefault="00967AE6" w:rsidP="00967AE6">
      <w:pPr>
        <w:shd w:val="clear" w:color="auto" w:fill="FFFFFF"/>
        <w:spacing w:before="100" w:beforeAutospacing="1" w:after="100" w:afterAutospacing="1" w:line="240" w:lineRule="auto"/>
      </w:pPr>
      <w:r w:rsidRPr="00967AE6">
        <w:rPr>
          <w:rFonts w:ascii="Segoe UI" w:eastAsia="Times New Roman" w:hAnsi="Segoe UI" w:cs="Segoe UI"/>
          <w:b/>
          <w:bCs/>
          <w:color w:val="212121"/>
          <w:sz w:val="24"/>
          <w:szCs w:val="24"/>
          <w:lang w:eastAsia="en-GB"/>
        </w:rPr>
        <w:t>Keywords: </w:t>
      </w:r>
      <w:r w:rsidRPr="00967AE6"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  <w:t>COVID-19; Hip fractures; Pandemic</w:t>
      </w:r>
    </w:p>
    <w:p w:rsidR="00967AE6" w:rsidRDefault="00967AE6" w:rsidP="00967AE6">
      <w:r w:rsidRPr="00967AE6">
        <w:t>https://pubmed.ncbi.nlm.nih.gov/33215151/</w:t>
      </w:r>
    </w:p>
    <w:p w:rsidR="00967AE6" w:rsidRPr="00967AE6" w:rsidRDefault="00967AE6" w:rsidP="00967AE6">
      <w:pPr>
        <w:rPr>
          <w:u w:val="single"/>
        </w:rPr>
      </w:pPr>
      <w:r w:rsidRPr="00967AE6">
        <w:rPr>
          <w:u w:val="single"/>
        </w:rPr>
        <w:lastRenderedPageBreak/>
        <w:t xml:space="preserve">Biography </w:t>
      </w:r>
    </w:p>
    <w:p w:rsidR="00967AE6" w:rsidRDefault="00967AE6" w:rsidP="00967AE6">
      <w:pPr>
        <w:spacing w:line="240" w:lineRule="auto"/>
        <w:contextualSpacing/>
      </w:pPr>
      <w:r>
        <w:t xml:space="preserve">Dr Samia Nesar </w:t>
      </w:r>
    </w:p>
    <w:p w:rsidR="00967AE6" w:rsidRDefault="00967AE6" w:rsidP="00967AE6">
      <w:pPr>
        <w:spacing w:line="240" w:lineRule="auto"/>
        <w:contextualSpacing/>
      </w:pPr>
      <w:r>
        <w:t>Orthogeriatric Registrar; Luton and Dunstable Hospital</w:t>
      </w:r>
      <w:r w:rsidR="00E027B6">
        <w:t xml:space="preserve"> since 2017 </w:t>
      </w:r>
      <w:bookmarkStart w:id="0" w:name="_GoBack"/>
      <w:bookmarkEnd w:id="0"/>
    </w:p>
    <w:p w:rsidR="00967AE6" w:rsidRDefault="00967AE6" w:rsidP="00967AE6">
      <w:pPr>
        <w:spacing w:line="240" w:lineRule="auto"/>
        <w:contextualSpacing/>
      </w:pPr>
      <w:r>
        <w:t xml:space="preserve">Bedfordshire Hospitals NHS foundation Trust </w:t>
      </w:r>
    </w:p>
    <w:p w:rsidR="00967AE6" w:rsidRDefault="00967AE6" w:rsidP="00967AE6">
      <w:pPr>
        <w:spacing w:line="240" w:lineRule="auto"/>
        <w:contextualSpacing/>
      </w:pPr>
      <w:r>
        <w:t xml:space="preserve">MBBS 2011, </w:t>
      </w:r>
      <w:proofErr w:type="spellStart"/>
      <w:r>
        <w:t>Barts</w:t>
      </w:r>
      <w:proofErr w:type="spellEnd"/>
      <w:r>
        <w:t xml:space="preserve"> and the London</w:t>
      </w:r>
    </w:p>
    <w:p w:rsidR="00967AE6" w:rsidRDefault="00967AE6" w:rsidP="00967AE6">
      <w:pPr>
        <w:spacing w:line="240" w:lineRule="auto"/>
        <w:contextualSpacing/>
      </w:pPr>
    </w:p>
    <w:p w:rsidR="00967AE6" w:rsidRDefault="00967AE6" w:rsidP="00967AE6"/>
    <w:p w:rsidR="00967AE6" w:rsidRDefault="00967AE6" w:rsidP="00967AE6"/>
    <w:p w:rsidR="00967AE6" w:rsidRPr="00967AE6" w:rsidRDefault="00967AE6" w:rsidP="00967AE6">
      <w:r>
        <w:rPr>
          <w:noProof/>
          <w:lang w:eastAsia="en-GB"/>
        </w:rPr>
        <w:drawing>
          <wp:inline distT="0" distB="0" distL="0" distR="0" wp14:anchorId="31445E9E" wp14:editId="26EEA7B2">
            <wp:extent cx="1860698" cy="2215483"/>
            <wp:effectExtent l="0" t="0" r="6350" b="0"/>
            <wp:docPr id="1" name="Picture 1" descr="cid:17bdda6647ce4e019f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bdda6647ce4e019f7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35" r="6779"/>
                    <a:stretch/>
                  </pic:blipFill>
                  <pic:spPr bwMode="auto">
                    <a:xfrm>
                      <a:off x="0" y="0"/>
                      <a:ext cx="1862856" cy="221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67AE6" w:rsidRPr="00967A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28"/>
    <w:rsid w:val="00332C5A"/>
    <w:rsid w:val="00967AE6"/>
    <w:rsid w:val="00A871FB"/>
    <w:rsid w:val="00C37761"/>
    <w:rsid w:val="00E027B6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A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67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D2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67AE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67AE6"/>
    <w:rPr>
      <w:b/>
      <w:bCs/>
    </w:rPr>
  </w:style>
  <w:style w:type="character" w:styleId="Hyperlink">
    <w:name w:val="Hyperlink"/>
    <w:basedOn w:val="DefaultParagraphFont"/>
    <w:uiPriority w:val="99"/>
    <w:unhideWhenUsed/>
    <w:rsid w:val="00967AE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67A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s-list-item">
    <w:name w:val="authors-list-item"/>
    <w:basedOn w:val="DefaultParagraphFont"/>
    <w:rsid w:val="00967AE6"/>
  </w:style>
  <w:style w:type="character" w:customStyle="1" w:styleId="author-sup-separator">
    <w:name w:val="author-sup-separator"/>
    <w:basedOn w:val="DefaultParagraphFont"/>
    <w:rsid w:val="00967AE6"/>
  </w:style>
  <w:style w:type="character" w:customStyle="1" w:styleId="comma">
    <w:name w:val="comma"/>
    <w:basedOn w:val="DefaultParagraphFont"/>
    <w:rsid w:val="00967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A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67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D2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67AE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67AE6"/>
    <w:rPr>
      <w:b/>
      <w:bCs/>
    </w:rPr>
  </w:style>
  <w:style w:type="character" w:styleId="Hyperlink">
    <w:name w:val="Hyperlink"/>
    <w:basedOn w:val="DefaultParagraphFont"/>
    <w:uiPriority w:val="99"/>
    <w:unhideWhenUsed/>
    <w:rsid w:val="00967AE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67A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s-list-item">
    <w:name w:val="authors-list-item"/>
    <w:basedOn w:val="DefaultParagraphFont"/>
    <w:rsid w:val="00967AE6"/>
  </w:style>
  <w:style w:type="character" w:customStyle="1" w:styleId="author-sup-separator">
    <w:name w:val="author-sup-separator"/>
    <w:basedOn w:val="DefaultParagraphFont"/>
    <w:rsid w:val="00967AE6"/>
  </w:style>
  <w:style w:type="character" w:customStyle="1" w:styleId="comma">
    <w:name w:val="comma"/>
    <w:basedOn w:val="DefaultParagraphFont"/>
    <w:rsid w:val="00967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17bdda6647ce4e019f7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Luton &amp; Dunstable Hospital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Nesar Samia (RC9) Luton &amp; Dunstable Hospital FT</dc:creator>
  <cp:lastModifiedBy>Nesar Samia (RC9) Luton &amp; Dunstable Hospital FT</cp:lastModifiedBy>
  <cp:revision>3</cp:revision>
  <dcterms:created xsi:type="dcterms:W3CDTF">2021-11-01T13:44:00Z</dcterms:created>
  <dcterms:modified xsi:type="dcterms:W3CDTF">2021-11-01T15:11:00Z</dcterms:modified>
</cp:coreProperties>
</file>