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E6" w:rsidRDefault="00967AE6" w:rsidP="00967AE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212121"/>
          <w:sz w:val="36"/>
          <w:szCs w:val="36"/>
          <w:lang w:eastAsia="en-GB"/>
        </w:rPr>
      </w:pPr>
      <w:r w:rsidRPr="00967AE6">
        <w:rPr>
          <w:rFonts w:ascii="Georgia" w:eastAsia="Times New Roman" w:hAnsi="Georgia" w:cs="Times New Roman"/>
          <w:b/>
          <w:bCs/>
          <w:color w:val="212121"/>
          <w:sz w:val="36"/>
          <w:szCs w:val="36"/>
          <w:lang w:eastAsia="en-GB"/>
        </w:rPr>
        <w:t>Abstract</w:t>
      </w:r>
    </w:p>
    <w:p w:rsidR="00967AE6" w:rsidRDefault="00967AE6" w:rsidP="00967AE6">
      <w:pPr>
        <w:pStyle w:val="Heading1"/>
        <w:shd w:val="clear" w:color="auto" w:fill="FFFFFF"/>
        <w:rPr>
          <w:rFonts w:ascii="Georgia" w:hAnsi="Georgia"/>
          <w:color w:val="212121"/>
        </w:rPr>
      </w:pPr>
      <w:r>
        <w:rPr>
          <w:rFonts w:ascii="Georgia" w:hAnsi="Georgia"/>
          <w:color w:val="212121"/>
        </w:rPr>
        <w:t>COVID-19 pandemic and hip fractures: impact and lessons learned</w:t>
      </w:r>
    </w:p>
    <w:p w:rsidR="00967AE6" w:rsidRDefault="00967AE6" w:rsidP="00967AE6">
      <w:pPr>
        <w:shd w:val="clear" w:color="auto" w:fill="FFFFFF"/>
        <w:rPr>
          <w:rFonts w:ascii="Segoe UI" w:hAnsi="Segoe UI" w:cs="Segoe UI"/>
          <w:color w:val="5B616B"/>
        </w:rPr>
      </w:pPr>
      <w:r w:rsidRPr="00967AE6">
        <w:rPr>
          <w:rStyle w:val="authors-list-item"/>
          <w:rFonts w:ascii="Segoe UI" w:hAnsi="Segoe UI" w:cs="Segoe UI"/>
          <w:color w:val="5B616B"/>
        </w:rPr>
        <w:t>Mohamed Arafa</w:t>
      </w:r>
      <w:r>
        <w:rPr>
          <w:rStyle w:val="author-sup-separator"/>
          <w:rFonts w:ascii="Segoe UI" w:hAnsi="Segoe UI" w:cs="Segoe UI"/>
          <w:color w:val="5B616B"/>
          <w:sz w:val="18"/>
          <w:szCs w:val="18"/>
          <w:vertAlign w:val="superscript"/>
        </w:rPr>
        <w:t> </w:t>
      </w:r>
      <w:r w:rsidRPr="00967AE6">
        <w:rPr>
          <w:rStyle w:val="authors-list-item"/>
          <w:rFonts w:ascii="Segoe UI" w:hAnsi="Segoe UI" w:cs="Segoe UI"/>
          <w:color w:val="5B616B"/>
          <w:sz w:val="18"/>
          <w:szCs w:val="18"/>
          <w:shd w:val="clear" w:color="auto" w:fill="F1F1F1"/>
          <w:vertAlign w:val="superscript"/>
        </w:rPr>
        <w:t>1</w:t>
      </w:r>
      <w:r>
        <w:rPr>
          <w:rStyle w:val="comma"/>
          <w:rFonts w:ascii="Segoe UI" w:hAnsi="Segoe UI" w:cs="Segoe UI"/>
          <w:color w:val="5B616B"/>
        </w:rPr>
        <w:t>, </w:t>
      </w:r>
      <w:r w:rsidRPr="00967AE6">
        <w:rPr>
          <w:rStyle w:val="authors-list-item"/>
          <w:rFonts w:ascii="Segoe UI" w:hAnsi="Segoe UI" w:cs="Segoe UI"/>
          <w:color w:val="5B616B"/>
        </w:rPr>
        <w:t>Samia Nesar</w:t>
      </w:r>
      <w:r>
        <w:rPr>
          <w:rStyle w:val="author-sup-separator"/>
          <w:rFonts w:ascii="Segoe UI" w:hAnsi="Segoe UI" w:cs="Segoe UI"/>
          <w:color w:val="5B616B"/>
          <w:sz w:val="18"/>
          <w:szCs w:val="18"/>
          <w:vertAlign w:val="superscript"/>
        </w:rPr>
        <w:t> </w:t>
      </w:r>
      <w:r w:rsidRPr="00967AE6">
        <w:rPr>
          <w:rStyle w:val="authors-list-item"/>
          <w:rFonts w:ascii="Segoe UI" w:hAnsi="Segoe UI" w:cs="Segoe UI"/>
          <w:color w:val="5B616B"/>
          <w:sz w:val="18"/>
          <w:szCs w:val="18"/>
          <w:shd w:val="clear" w:color="auto" w:fill="F1F1F1"/>
          <w:vertAlign w:val="superscript"/>
        </w:rPr>
        <w:t>1</w:t>
      </w:r>
      <w:r>
        <w:rPr>
          <w:rStyle w:val="comma"/>
          <w:rFonts w:ascii="Segoe UI" w:hAnsi="Segoe UI" w:cs="Segoe UI"/>
          <w:color w:val="5B616B"/>
        </w:rPr>
        <w:t>, </w:t>
      </w:r>
      <w:r w:rsidRPr="00967AE6">
        <w:rPr>
          <w:rStyle w:val="authors-list-item"/>
          <w:rFonts w:ascii="Segoe UI" w:hAnsi="Segoe UI" w:cs="Segoe UI"/>
          <w:color w:val="5B616B"/>
        </w:rPr>
        <w:t>Hamza Abu-Jabeh</w:t>
      </w:r>
      <w:r>
        <w:rPr>
          <w:rStyle w:val="author-sup-separator"/>
          <w:rFonts w:ascii="Segoe UI" w:hAnsi="Segoe UI" w:cs="Segoe UI"/>
          <w:color w:val="5B616B"/>
          <w:sz w:val="18"/>
          <w:szCs w:val="18"/>
          <w:vertAlign w:val="superscript"/>
        </w:rPr>
        <w:t> </w:t>
      </w:r>
      <w:r w:rsidRPr="00967AE6">
        <w:rPr>
          <w:rStyle w:val="authors-list-item"/>
          <w:rFonts w:ascii="Segoe UI" w:hAnsi="Segoe UI" w:cs="Segoe UI"/>
          <w:color w:val="5B616B"/>
          <w:sz w:val="18"/>
          <w:szCs w:val="18"/>
          <w:shd w:val="clear" w:color="auto" w:fill="F1F1F1"/>
          <w:vertAlign w:val="superscript"/>
        </w:rPr>
        <w:t>1</w:t>
      </w:r>
      <w:r>
        <w:rPr>
          <w:rStyle w:val="comma"/>
          <w:rFonts w:ascii="Segoe UI" w:hAnsi="Segoe UI" w:cs="Segoe UI"/>
          <w:color w:val="5B616B"/>
        </w:rPr>
        <w:t>, </w:t>
      </w:r>
      <w:r w:rsidRPr="00967AE6">
        <w:rPr>
          <w:rStyle w:val="authors-list-item"/>
          <w:rFonts w:ascii="Segoe UI" w:hAnsi="Segoe UI" w:cs="Segoe UI"/>
          <w:color w:val="5B616B"/>
        </w:rPr>
        <w:t xml:space="preserve">Ma Odette </w:t>
      </w:r>
      <w:proofErr w:type="spellStart"/>
      <w:r w:rsidRPr="00967AE6">
        <w:rPr>
          <w:rStyle w:val="authors-list-item"/>
          <w:rFonts w:ascii="Segoe UI" w:hAnsi="Segoe UI" w:cs="Segoe UI"/>
          <w:color w:val="5B616B"/>
        </w:rPr>
        <w:t>Remelou</w:t>
      </w:r>
      <w:proofErr w:type="spellEnd"/>
      <w:r w:rsidRPr="00967AE6">
        <w:rPr>
          <w:rStyle w:val="authors-list-item"/>
          <w:rFonts w:ascii="Segoe UI" w:hAnsi="Segoe UI" w:cs="Segoe UI"/>
          <w:color w:val="5B616B"/>
        </w:rPr>
        <w:t xml:space="preserve"> Jayme</w:t>
      </w:r>
      <w:r>
        <w:rPr>
          <w:rStyle w:val="author-sup-separator"/>
          <w:rFonts w:ascii="Segoe UI" w:hAnsi="Segoe UI" w:cs="Segoe UI"/>
          <w:color w:val="5B616B"/>
          <w:sz w:val="18"/>
          <w:szCs w:val="18"/>
          <w:vertAlign w:val="superscript"/>
        </w:rPr>
        <w:t> </w:t>
      </w:r>
      <w:r w:rsidRPr="00967AE6">
        <w:rPr>
          <w:rStyle w:val="authors-list-item"/>
          <w:rFonts w:ascii="Segoe UI" w:hAnsi="Segoe UI" w:cs="Segoe UI"/>
          <w:color w:val="5B616B"/>
          <w:sz w:val="18"/>
          <w:szCs w:val="18"/>
          <w:shd w:val="clear" w:color="auto" w:fill="F1F1F1"/>
          <w:vertAlign w:val="superscript"/>
        </w:rPr>
        <w:t>1</w:t>
      </w:r>
      <w:r>
        <w:rPr>
          <w:rStyle w:val="comma"/>
          <w:rFonts w:ascii="Segoe UI" w:hAnsi="Segoe UI" w:cs="Segoe UI"/>
          <w:color w:val="5B616B"/>
        </w:rPr>
        <w:t>, </w:t>
      </w:r>
      <w:r w:rsidRPr="00967AE6">
        <w:rPr>
          <w:rStyle w:val="authors-list-item"/>
          <w:rFonts w:ascii="Segoe UI" w:hAnsi="Segoe UI" w:cs="Segoe UI"/>
          <w:color w:val="5B616B"/>
        </w:rPr>
        <w:t>Yegappan Kalairajah</w:t>
      </w:r>
      <w:r>
        <w:rPr>
          <w:rStyle w:val="author-sup-separator"/>
          <w:rFonts w:ascii="Segoe UI" w:hAnsi="Segoe UI" w:cs="Segoe UI"/>
          <w:color w:val="5B616B"/>
          <w:sz w:val="18"/>
          <w:szCs w:val="18"/>
          <w:vertAlign w:val="superscript"/>
        </w:rPr>
        <w:t> </w:t>
      </w:r>
      <w:r w:rsidRPr="00967AE6">
        <w:rPr>
          <w:rStyle w:val="authors-list-item"/>
          <w:rFonts w:ascii="Segoe UI" w:hAnsi="Segoe UI" w:cs="Segoe UI"/>
          <w:color w:val="5B616B"/>
          <w:sz w:val="18"/>
          <w:szCs w:val="18"/>
          <w:shd w:val="clear" w:color="auto" w:fill="F1F1F1"/>
          <w:vertAlign w:val="superscript"/>
        </w:rPr>
        <w:t>1</w:t>
      </w:r>
    </w:p>
    <w:p w:rsidR="00967AE6" w:rsidRPr="00967AE6" w:rsidRDefault="00967AE6" w:rsidP="00967AE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967AE6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en-GB"/>
        </w:rPr>
        <w:t>Aims: </w:t>
      </w:r>
      <w:r w:rsidRPr="00967AE6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The coronavirus disease (COVID)-19 pandemic forced an unprecedented period of challenge to the NHS in the UK where hip fractures in the elderly population are a major public health concern. There are approximately 76,000 hip fractures in the UK each year which make up a substantial proportion of the trauma workload of an average orthopaedic unit. This study aims to assess the impact of the COVID-19 pandemic on hip fracture care service and the emerging lessons to withstand any future outbreaks.</w:t>
      </w:r>
    </w:p>
    <w:p w:rsidR="00967AE6" w:rsidRPr="00967AE6" w:rsidRDefault="00967AE6" w:rsidP="00967AE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967AE6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en-GB"/>
        </w:rPr>
        <w:t>Methods: </w:t>
      </w:r>
      <w:r w:rsidRPr="00967AE6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Data were collected retrospectively on 157 hip fractures admitted from March to May 2019 and 2020. The 2020 group was further subdivided into COVID-positive and COVID-negative. Data including the four-hour target, timing to imaging, hours to operation, anaesthetic and operative details, intraoperative complications, postoperative reviews, COVID status, Key Performance Indicators (KPIs), length of stay, postoperative complications, and the 30-day mortality were compiled from computer records and our local National Hip Fracture Database (NHFD) export data.</w:t>
      </w:r>
    </w:p>
    <w:p w:rsidR="00967AE6" w:rsidRPr="00967AE6" w:rsidRDefault="00967AE6" w:rsidP="00967AE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967AE6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en-GB"/>
        </w:rPr>
        <w:t>Results: </w:t>
      </w:r>
      <w:r w:rsidRPr="00967AE6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Hip fractures and inpatient falls significantly increased by 61.7% and 7.2% respectively in the 2020 group. A significant difference was found among the three groups regarding anaesthetic preparation time, anaesthetic time, and recovery time. The mortality rate in the 2020 COVID-positive group (36.8%) was significantly higher than both the 2020 COVID-negative and 2019 groups (11.5% and 11.7% respectively). The hospital stay was significantly higher in the COVID-positive group (mean of 24.21 days (SD 19.29)).</w:t>
      </w:r>
    </w:p>
    <w:p w:rsidR="00967AE6" w:rsidRDefault="00967AE6" w:rsidP="00967AE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967AE6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en-GB"/>
        </w:rPr>
        <w:t>Conclusion: </w:t>
      </w:r>
      <w:r w:rsidRPr="00967AE6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COVID-19 has had notable effects on the hip fracture care service: hip fracture rates increased significantly. There were inefficiencies in theatre processes for which we have recommended the use of alternate theatres. COVID-19 infection increased the 30-day mortality and hospital stay in hip fractures. More research needs to be done to reduce this risk.</w:t>
      </w:r>
    </w:p>
    <w:p w:rsidR="00967AE6" w:rsidRPr="00967AE6" w:rsidRDefault="00967AE6" w:rsidP="00967AE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967AE6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Cite this article: </w:t>
      </w:r>
      <w:r w:rsidRPr="00967AE6">
        <w:rPr>
          <w:rFonts w:ascii="Segoe UI" w:eastAsia="Times New Roman" w:hAnsi="Segoe UI" w:cs="Segoe UI"/>
          <w:i/>
          <w:iCs/>
          <w:color w:val="212121"/>
          <w:sz w:val="24"/>
          <w:szCs w:val="24"/>
          <w:lang w:eastAsia="en-GB"/>
        </w:rPr>
        <w:t>Bone Joint Open</w:t>
      </w:r>
      <w:r w:rsidRPr="00967AE6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 2020</w:t>
      </w:r>
      <w:proofErr w:type="gramStart"/>
      <w:r w:rsidRPr="00967AE6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;1</w:t>
      </w:r>
      <w:proofErr w:type="gramEnd"/>
      <w:r w:rsidRPr="00967AE6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-9:530-540.</w:t>
      </w:r>
    </w:p>
    <w:p w:rsidR="0032485E" w:rsidRDefault="00967AE6" w:rsidP="00967AE6">
      <w:pPr>
        <w:shd w:val="clear" w:color="auto" w:fill="FFFFFF"/>
        <w:spacing w:before="100" w:beforeAutospacing="1" w:after="100" w:afterAutospacing="1" w:line="240" w:lineRule="auto"/>
      </w:pPr>
      <w:r w:rsidRPr="00967AE6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en-GB"/>
        </w:rPr>
        <w:t>Keywords: </w:t>
      </w:r>
      <w:r w:rsidRPr="00967AE6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COVID-19; Hip fractures; Pandemic</w:t>
      </w:r>
    </w:p>
    <w:p w:rsidR="00967AE6" w:rsidRDefault="00967AE6" w:rsidP="00967AE6">
      <w:r w:rsidRPr="00967AE6">
        <w:t>https://pubmed.ncbi.nlm.nih.gov/33215151/</w:t>
      </w:r>
    </w:p>
    <w:p w:rsidR="00967AE6" w:rsidRPr="00967AE6" w:rsidRDefault="00967AE6" w:rsidP="00967AE6">
      <w:pPr>
        <w:rPr>
          <w:u w:val="single"/>
        </w:rPr>
      </w:pPr>
      <w:r w:rsidRPr="00967AE6">
        <w:rPr>
          <w:u w:val="single"/>
        </w:rPr>
        <w:lastRenderedPageBreak/>
        <w:t xml:space="preserve">Biography </w:t>
      </w:r>
    </w:p>
    <w:p w:rsidR="00967AE6" w:rsidRDefault="00967AE6" w:rsidP="00967AE6">
      <w:pPr>
        <w:spacing w:line="240" w:lineRule="auto"/>
        <w:contextualSpacing/>
      </w:pPr>
      <w:r>
        <w:t xml:space="preserve">Dr Samia Nesar </w:t>
      </w:r>
    </w:p>
    <w:p w:rsidR="00967AE6" w:rsidRDefault="00967AE6" w:rsidP="00967AE6">
      <w:pPr>
        <w:spacing w:line="240" w:lineRule="auto"/>
        <w:contextualSpacing/>
      </w:pPr>
      <w:r>
        <w:t>Orthogeriatric Registrar; Luton and Dunstable Hospital</w:t>
      </w:r>
      <w:r w:rsidR="00E027B6">
        <w:t xml:space="preserve"> since 2017 </w:t>
      </w:r>
      <w:bookmarkStart w:id="0" w:name="_GoBack"/>
      <w:bookmarkEnd w:id="0"/>
    </w:p>
    <w:p w:rsidR="00967AE6" w:rsidRDefault="00967AE6" w:rsidP="00967AE6">
      <w:pPr>
        <w:spacing w:line="240" w:lineRule="auto"/>
        <w:contextualSpacing/>
      </w:pPr>
      <w:r>
        <w:t xml:space="preserve">Bedfordshire Hospitals NHS foundation Trust </w:t>
      </w:r>
    </w:p>
    <w:p w:rsidR="00967AE6" w:rsidRDefault="00967AE6" w:rsidP="00967AE6">
      <w:pPr>
        <w:spacing w:line="240" w:lineRule="auto"/>
        <w:contextualSpacing/>
      </w:pPr>
      <w:r>
        <w:t xml:space="preserve">MBBS 2011, </w:t>
      </w:r>
      <w:proofErr w:type="spellStart"/>
      <w:r>
        <w:t>Barts</w:t>
      </w:r>
      <w:proofErr w:type="spellEnd"/>
      <w:r>
        <w:t xml:space="preserve"> and the London</w:t>
      </w:r>
    </w:p>
    <w:p w:rsidR="00967AE6" w:rsidRDefault="00967AE6" w:rsidP="00967AE6">
      <w:pPr>
        <w:spacing w:line="240" w:lineRule="auto"/>
        <w:contextualSpacing/>
      </w:pPr>
    </w:p>
    <w:p w:rsidR="00967AE6" w:rsidRDefault="00967AE6" w:rsidP="00967AE6"/>
    <w:p w:rsidR="00967AE6" w:rsidRDefault="00967AE6" w:rsidP="00967AE6"/>
    <w:p w:rsidR="00967AE6" w:rsidRPr="00967AE6" w:rsidRDefault="00967AE6" w:rsidP="00967AE6">
      <w:r>
        <w:rPr>
          <w:noProof/>
          <w:lang w:eastAsia="en-GB"/>
        </w:rPr>
        <w:drawing>
          <wp:inline distT="0" distB="0" distL="0" distR="0" wp14:anchorId="31445E9E" wp14:editId="26EEA7B2">
            <wp:extent cx="1860698" cy="2215483"/>
            <wp:effectExtent l="0" t="0" r="6350" b="0"/>
            <wp:docPr id="1" name="Picture 1" descr="cid:17bdda6647ce4e019f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bdda6647ce4e019f7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5" r="6779"/>
                    <a:stretch/>
                  </pic:blipFill>
                  <pic:spPr bwMode="auto">
                    <a:xfrm>
                      <a:off x="0" y="0"/>
                      <a:ext cx="1862856" cy="221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7AE6" w:rsidRPr="00967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28"/>
    <w:rsid w:val="00332C5A"/>
    <w:rsid w:val="00967AE6"/>
    <w:rsid w:val="00A871FB"/>
    <w:rsid w:val="00C37761"/>
    <w:rsid w:val="00E027B6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67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67A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7AE6"/>
    <w:rPr>
      <w:b/>
      <w:bCs/>
    </w:rPr>
  </w:style>
  <w:style w:type="character" w:styleId="Hyperlink">
    <w:name w:val="Hyperlink"/>
    <w:basedOn w:val="DefaultParagraphFont"/>
    <w:uiPriority w:val="99"/>
    <w:unhideWhenUsed/>
    <w:rsid w:val="00967A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s-list-item">
    <w:name w:val="authors-list-item"/>
    <w:basedOn w:val="DefaultParagraphFont"/>
    <w:rsid w:val="00967AE6"/>
  </w:style>
  <w:style w:type="character" w:customStyle="1" w:styleId="author-sup-separator">
    <w:name w:val="author-sup-separator"/>
    <w:basedOn w:val="DefaultParagraphFont"/>
    <w:rsid w:val="00967AE6"/>
  </w:style>
  <w:style w:type="character" w:customStyle="1" w:styleId="comma">
    <w:name w:val="comma"/>
    <w:basedOn w:val="DefaultParagraphFont"/>
    <w:rsid w:val="00967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67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67A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7AE6"/>
    <w:rPr>
      <w:b/>
      <w:bCs/>
    </w:rPr>
  </w:style>
  <w:style w:type="character" w:styleId="Hyperlink">
    <w:name w:val="Hyperlink"/>
    <w:basedOn w:val="DefaultParagraphFont"/>
    <w:uiPriority w:val="99"/>
    <w:unhideWhenUsed/>
    <w:rsid w:val="00967A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s-list-item">
    <w:name w:val="authors-list-item"/>
    <w:basedOn w:val="DefaultParagraphFont"/>
    <w:rsid w:val="00967AE6"/>
  </w:style>
  <w:style w:type="character" w:customStyle="1" w:styleId="author-sup-separator">
    <w:name w:val="author-sup-separator"/>
    <w:basedOn w:val="DefaultParagraphFont"/>
    <w:rsid w:val="00967AE6"/>
  </w:style>
  <w:style w:type="character" w:customStyle="1" w:styleId="comma">
    <w:name w:val="comma"/>
    <w:basedOn w:val="DefaultParagraphFont"/>
    <w:rsid w:val="0096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7bdda6647ce4e019f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Nesar Samia (RC9) Luton &amp; Dunstable Hospital FT</dc:creator>
  <cp:lastModifiedBy>Nesar Samia (RC9) Luton &amp; Dunstable Hospital FT</cp:lastModifiedBy>
  <cp:revision>3</cp:revision>
  <dcterms:created xsi:type="dcterms:W3CDTF">2021-11-01T13:44:00Z</dcterms:created>
  <dcterms:modified xsi:type="dcterms:W3CDTF">2021-11-01T15:11:00Z</dcterms:modified>
</cp:coreProperties>
</file>