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6442" w14:textId="77777777" w:rsidR="000E177B" w:rsidRPr="008F68CE" w:rsidRDefault="00442626">
      <w:pPr>
        <w:pStyle w:val="Body"/>
        <w:rPr>
          <w:rFonts w:ascii="Arial" w:hAnsi="Arial" w:cs="Arial"/>
          <w:b/>
        </w:rPr>
      </w:pPr>
      <w:r w:rsidRPr="008F68CE">
        <w:rPr>
          <w:rFonts w:ascii="Arial" w:hAnsi="Arial" w:cs="Arial"/>
          <w:b/>
        </w:rPr>
        <w:t>Abstract</w:t>
      </w:r>
    </w:p>
    <w:p w14:paraId="3B17175C" w14:textId="77777777" w:rsidR="00442626" w:rsidRPr="008F68CE" w:rsidRDefault="00442626">
      <w:pPr>
        <w:pStyle w:val="Body"/>
        <w:rPr>
          <w:rFonts w:ascii="Arial" w:hAnsi="Arial" w:cs="Arial"/>
          <w:b/>
        </w:rPr>
      </w:pPr>
    </w:p>
    <w:p w14:paraId="7FE80706" w14:textId="7ABD75C4" w:rsidR="007461CA" w:rsidRPr="008F68CE" w:rsidRDefault="00391743" w:rsidP="007461CA">
      <w:pPr>
        <w:autoSpaceDE w:val="0"/>
        <w:autoSpaceDN w:val="0"/>
        <w:adjustRightInd w:val="0"/>
        <w:rPr>
          <w:rFonts w:ascii="Arial" w:hAnsi="Arial" w:cs="Arial"/>
          <w:b/>
        </w:rPr>
      </w:pPr>
      <w:r w:rsidRPr="008F68CE">
        <w:rPr>
          <w:rFonts w:ascii="Arial" w:hAnsi="Arial" w:cs="Arial"/>
          <w:b/>
        </w:rPr>
        <w:t>H</w:t>
      </w:r>
      <w:r w:rsidR="007461CA" w:rsidRPr="008F68CE">
        <w:rPr>
          <w:rFonts w:ascii="Arial" w:hAnsi="Arial" w:cs="Arial"/>
          <w:b/>
        </w:rPr>
        <w:t xml:space="preserve">ow </w:t>
      </w:r>
      <w:r w:rsidR="00A33D76">
        <w:rPr>
          <w:rFonts w:ascii="Arial" w:hAnsi="Arial" w:cs="Arial"/>
          <w:b/>
        </w:rPr>
        <w:t xml:space="preserve">can </w:t>
      </w:r>
      <w:r w:rsidR="00B500D9">
        <w:rPr>
          <w:rFonts w:ascii="Arial" w:hAnsi="Arial" w:cs="Arial"/>
          <w:b/>
        </w:rPr>
        <w:t>individual</w:t>
      </w:r>
      <w:r w:rsidR="00A33D76">
        <w:rPr>
          <w:rFonts w:ascii="Arial" w:hAnsi="Arial" w:cs="Arial"/>
          <w:b/>
        </w:rPr>
        <w:t xml:space="preserve">’s wishes and feelings be </w:t>
      </w:r>
      <w:r w:rsidR="00E507F4">
        <w:rPr>
          <w:rFonts w:ascii="Arial" w:hAnsi="Arial" w:cs="Arial"/>
          <w:b/>
        </w:rPr>
        <w:t xml:space="preserve">embedded </w:t>
      </w:r>
      <w:r w:rsidR="00A33D76">
        <w:rPr>
          <w:rFonts w:ascii="Arial" w:hAnsi="Arial" w:cs="Arial"/>
          <w:b/>
        </w:rPr>
        <w:t>at the heart of</w:t>
      </w:r>
      <w:r w:rsidR="007461CA" w:rsidRPr="008F68CE">
        <w:rPr>
          <w:rFonts w:ascii="Arial" w:hAnsi="Arial" w:cs="Arial"/>
          <w:b/>
        </w:rPr>
        <w:t xml:space="preserve"> the </w:t>
      </w:r>
      <w:r w:rsidR="005B3B56" w:rsidRPr="008F68CE">
        <w:rPr>
          <w:rFonts w:ascii="Arial" w:hAnsi="Arial" w:cs="Arial"/>
          <w:b/>
        </w:rPr>
        <w:t>Liberty Protection Safeguards (</w:t>
      </w:r>
      <w:r w:rsidR="007461CA" w:rsidRPr="008F68CE">
        <w:rPr>
          <w:rFonts w:ascii="Arial" w:hAnsi="Arial" w:cs="Arial"/>
          <w:b/>
        </w:rPr>
        <w:t>LPS</w:t>
      </w:r>
      <w:r w:rsidR="005B3B56" w:rsidRPr="008F68CE">
        <w:rPr>
          <w:rFonts w:ascii="Arial" w:hAnsi="Arial" w:cs="Arial"/>
          <w:b/>
        </w:rPr>
        <w:t>)</w:t>
      </w:r>
      <w:r w:rsidR="007461CA" w:rsidRPr="008F68CE">
        <w:rPr>
          <w:rFonts w:ascii="Arial" w:hAnsi="Arial" w:cs="Arial"/>
          <w:b/>
        </w:rPr>
        <w:t>?</w:t>
      </w:r>
    </w:p>
    <w:p w14:paraId="036272E2" w14:textId="77777777" w:rsidR="007461CA" w:rsidRPr="008F68CE" w:rsidRDefault="007461CA" w:rsidP="007461CA">
      <w:pPr>
        <w:autoSpaceDE w:val="0"/>
        <w:autoSpaceDN w:val="0"/>
        <w:adjustRightInd w:val="0"/>
        <w:rPr>
          <w:rFonts w:ascii="Arial" w:hAnsi="Arial" w:cs="Arial"/>
        </w:rPr>
      </w:pPr>
    </w:p>
    <w:p w14:paraId="72DE0BC2" w14:textId="09B2E795" w:rsidR="005F1B70" w:rsidRDefault="001C7C98" w:rsidP="007461CA">
      <w:pPr>
        <w:autoSpaceDE w:val="0"/>
        <w:autoSpaceDN w:val="0"/>
        <w:adjustRightInd w:val="0"/>
        <w:rPr>
          <w:rFonts w:ascii="Arial" w:hAnsi="Arial" w:cs="Arial"/>
        </w:rPr>
      </w:pPr>
      <w:r w:rsidRPr="008F68CE">
        <w:rPr>
          <w:rFonts w:ascii="Arial" w:hAnsi="Arial" w:cs="Arial"/>
        </w:rPr>
        <w:t>When people lack capacity to consent to care plans designed to keep them safe, it</w:t>
      </w:r>
      <w:r w:rsidR="005F1B70" w:rsidRPr="008F68CE">
        <w:rPr>
          <w:rFonts w:ascii="Arial" w:hAnsi="Arial" w:cs="Arial"/>
        </w:rPr>
        <w:t xml:space="preserve"> is essential that </w:t>
      </w:r>
      <w:r w:rsidRPr="008F68CE">
        <w:rPr>
          <w:rFonts w:ascii="Arial" w:hAnsi="Arial" w:cs="Arial"/>
        </w:rPr>
        <w:t>issues of restraint and deprivation of liberty are recognised as part of the continuum of the Mental Capacity Act (MCA</w:t>
      </w:r>
      <w:r w:rsidR="00B500D9" w:rsidRPr="008F68CE">
        <w:rPr>
          <w:rFonts w:ascii="Arial" w:hAnsi="Arial" w:cs="Arial"/>
        </w:rPr>
        <w:t>) and</w:t>
      </w:r>
      <w:r w:rsidR="00270768" w:rsidRPr="008F68CE">
        <w:rPr>
          <w:rFonts w:ascii="Arial" w:hAnsi="Arial" w:cs="Arial"/>
        </w:rPr>
        <w:t xml:space="preserve"> approached within the empowering ethos of the five statutory principles</w:t>
      </w:r>
      <w:r w:rsidRPr="008F68CE">
        <w:rPr>
          <w:rFonts w:ascii="Arial" w:hAnsi="Arial" w:cs="Arial"/>
        </w:rPr>
        <w:t>.</w:t>
      </w:r>
      <w:r w:rsidR="00471D51" w:rsidRPr="008F68CE">
        <w:rPr>
          <w:rFonts w:ascii="Arial" w:hAnsi="Arial" w:cs="Arial"/>
        </w:rPr>
        <w:t xml:space="preserve">  </w:t>
      </w:r>
    </w:p>
    <w:p w14:paraId="13BAF632" w14:textId="77777777" w:rsidR="00237C4F" w:rsidRPr="008F68CE" w:rsidRDefault="00237C4F" w:rsidP="007461CA">
      <w:pPr>
        <w:autoSpaceDE w:val="0"/>
        <w:autoSpaceDN w:val="0"/>
        <w:adjustRightInd w:val="0"/>
        <w:rPr>
          <w:rFonts w:ascii="Arial" w:hAnsi="Arial" w:cs="Arial"/>
        </w:rPr>
      </w:pPr>
    </w:p>
    <w:p w14:paraId="77B92532" w14:textId="6D74758C" w:rsidR="00276F02" w:rsidRDefault="00276F02" w:rsidP="007461CA">
      <w:pPr>
        <w:autoSpaceDE w:val="0"/>
        <w:autoSpaceDN w:val="0"/>
        <w:adjustRightInd w:val="0"/>
        <w:rPr>
          <w:rFonts w:ascii="Arial" w:hAnsi="Arial" w:cs="Arial"/>
        </w:rPr>
      </w:pPr>
      <w:r w:rsidRPr="008F68CE">
        <w:rPr>
          <w:rFonts w:ascii="Arial" w:hAnsi="Arial" w:cs="Arial"/>
        </w:rPr>
        <w:t xml:space="preserve">In preparation for the rollout of LPS, </w:t>
      </w:r>
      <w:r w:rsidR="005362DD">
        <w:rPr>
          <w:rFonts w:ascii="Arial" w:hAnsi="Arial" w:cs="Arial"/>
        </w:rPr>
        <w:t>professionals in health and social care are</w:t>
      </w:r>
      <w:r w:rsidRPr="008F68CE">
        <w:rPr>
          <w:rFonts w:ascii="Arial" w:hAnsi="Arial" w:cs="Arial"/>
        </w:rPr>
        <w:t xml:space="preserve"> recommended to remain alert for bulletins and guidance </w:t>
      </w:r>
      <w:r w:rsidR="00BD2EFC" w:rsidRPr="008F68CE">
        <w:rPr>
          <w:rFonts w:ascii="Arial" w:hAnsi="Arial" w:cs="Arial"/>
        </w:rPr>
        <w:t xml:space="preserve">to be produced by the DHSC to help with implementation.  </w:t>
      </w:r>
      <w:r w:rsidR="002C4F94" w:rsidRPr="008F68CE">
        <w:rPr>
          <w:rFonts w:ascii="Arial" w:hAnsi="Arial" w:cs="Arial"/>
        </w:rPr>
        <w:t>When</w:t>
      </w:r>
      <w:r w:rsidR="00BD2EFC" w:rsidRPr="008F68CE">
        <w:rPr>
          <w:rFonts w:ascii="Arial" w:hAnsi="Arial" w:cs="Arial"/>
        </w:rPr>
        <w:t xml:space="preserve"> briefing</w:t>
      </w:r>
      <w:r w:rsidR="001F3F41" w:rsidRPr="008F68CE">
        <w:rPr>
          <w:rFonts w:ascii="Arial" w:hAnsi="Arial" w:cs="Arial"/>
        </w:rPr>
        <w:t xml:space="preserve"> </w:t>
      </w:r>
      <w:r w:rsidR="002C4F94" w:rsidRPr="008F68CE">
        <w:rPr>
          <w:rFonts w:ascii="Arial" w:hAnsi="Arial" w:cs="Arial"/>
        </w:rPr>
        <w:t>stakeholders, for</w:t>
      </w:r>
      <w:r w:rsidR="00BD2EFC" w:rsidRPr="008F68CE">
        <w:rPr>
          <w:rFonts w:ascii="Arial" w:hAnsi="Arial" w:cs="Arial"/>
        </w:rPr>
        <w:t xml:space="preserve"> example commissioners</w:t>
      </w:r>
      <w:r w:rsidR="002C4F94" w:rsidRPr="008F68CE">
        <w:rPr>
          <w:rFonts w:ascii="Arial" w:hAnsi="Arial" w:cs="Arial"/>
        </w:rPr>
        <w:t xml:space="preserve"> and clinicians</w:t>
      </w:r>
      <w:r w:rsidR="00DB429E" w:rsidRPr="008F68CE">
        <w:rPr>
          <w:rFonts w:ascii="Arial" w:hAnsi="Arial" w:cs="Arial"/>
        </w:rPr>
        <w:t>, about this conference</w:t>
      </w:r>
      <w:r w:rsidR="00AB332E">
        <w:rPr>
          <w:rFonts w:ascii="Arial" w:hAnsi="Arial" w:cs="Arial"/>
        </w:rPr>
        <w:t xml:space="preserve">, </w:t>
      </w:r>
      <w:r w:rsidR="00DB429E" w:rsidRPr="008F68CE">
        <w:rPr>
          <w:rFonts w:ascii="Arial" w:hAnsi="Arial" w:cs="Arial"/>
        </w:rPr>
        <w:t>as we hope you will</w:t>
      </w:r>
      <w:r w:rsidR="00AB332E">
        <w:rPr>
          <w:rFonts w:ascii="Arial" w:hAnsi="Arial" w:cs="Arial"/>
        </w:rPr>
        <w:t xml:space="preserve">, </w:t>
      </w:r>
      <w:r w:rsidR="001F3F41" w:rsidRPr="008F68CE">
        <w:rPr>
          <w:rFonts w:ascii="Arial" w:hAnsi="Arial" w:cs="Arial"/>
        </w:rPr>
        <w:t xml:space="preserve">it is essential to </w:t>
      </w:r>
      <w:r w:rsidR="00132BB0" w:rsidRPr="008F68CE">
        <w:rPr>
          <w:rFonts w:ascii="Arial" w:hAnsi="Arial" w:cs="Arial"/>
        </w:rPr>
        <w:t>set the LPS firmly within the wider MCA</w:t>
      </w:r>
      <w:r w:rsidR="00280164" w:rsidRPr="008F68CE">
        <w:rPr>
          <w:rFonts w:ascii="Arial" w:hAnsi="Arial" w:cs="Arial"/>
        </w:rPr>
        <w:t xml:space="preserve">: by doing this, the ‘novelty value’ of LPS </w:t>
      </w:r>
      <w:r w:rsidR="0071563A" w:rsidRPr="008F68CE">
        <w:rPr>
          <w:rFonts w:ascii="Arial" w:hAnsi="Arial" w:cs="Arial"/>
        </w:rPr>
        <w:t>can be used to enable</w:t>
      </w:r>
      <w:r w:rsidR="003959BE" w:rsidRPr="008F68CE">
        <w:rPr>
          <w:rFonts w:ascii="Arial" w:hAnsi="Arial" w:cs="Arial"/>
        </w:rPr>
        <w:t xml:space="preserve"> much-needed</w:t>
      </w:r>
      <w:r w:rsidR="00280164" w:rsidRPr="008F68CE">
        <w:rPr>
          <w:rFonts w:ascii="Arial" w:hAnsi="Arial" w:cs="Arial"/>
        </w:rPr>
        <w:t xml:space="preserve"> improvement to practice </w:t>
      </w:r>
      <w:r w:rsidR="00DB429E" w:rsidRPr="008F68CE">
        <w:rPr>
          <w:rFonts w:ascii="Arial" w:hAnsi="Arial" w:cs="Arial"/>
        </w:rPr>
        <w:t>throughout health and social care for adults who may lack mental capacity.</w:t>
      </w:r>
    </w:p>
    <w:p w14:paraId="295932A8" w14:textId="77777777" w:rsidR="00E507F4" w:rsidRDefault="00E507F4" w:rsidP="007461CA">
      <w:pPr>
        <w:autoSpaceDE w:val="0"/>
        <w:autoSpaceDN w:val="0"/>
        <w:adjustRightInd w:val="0"/>
        <w:rPr>
          <w:rFonts w:ascii="Arial" w:hAnsi="Arial" w:cs="Arial"/>
        </w:rPr>
      </w:pPr>
    </w:p>
    <w:p w14:paraId="3AE3378C" w14:textId="2CE1D5D8" w:rsidR="00E507F4" w:rsidRPr="008F68CE" w:rsidRDefault="00E507F4" w:rsidP="00DC4B62">
      <w:pPr>
        <w:pStyle w:val="Body"/>
        <w:rPr>
          <w:rFonts w:ascii="Arial" w:hAnsi="Arial" w:cs="Arial"/>
          <w:lang w:val="en-GB"/>
        </w:rPr>
      </w:pPr>
      <w:r w:rsidRPr="008F68CE">
        <w:rPr>
          <w:rFonts w:ascii="Arial" w:hAnsi="Arial" w:cs="Arial"/>
        </w:rPr>
        <w:t>Additionally, respect for the autonomy of people with disabilities is an increasingly strong driver towards change, due the increased emphasis on autonomy irrespective of capacity coming from the CRPD committee. This presents clear challenges to the Mental Capacity Act, and in particular to the whole concept of depriving people of their liberty to give care and treatment.  Some of these issues are unlikely to be tackled head-on within LPS; we await case law to lead in evolving understanding of how to interpret in practice the balance between protection and autonomy.</w:t>
      </w:r>
      <w:r w:rsidR="00594199">
        <w:rPr>
          <w:rFonts w:ascii="Arial" w:hAnsi="Arial" w:cs="Arial"/>
        </w:rPr>
        <w:t xml:space="preserve"> </w:t>
      </w:r>
    </w:p>
    <w:p w14:paraId="4B761281" w14:textId="77777777" w:rsidR="007461CA" w:rsidRPr="008F68CE" w:rsidRDefault="007461CA" w:rsidP="007461CA">
      <w:pPr>
        <w:autoSpaceDE w:val="0"/>
        <w:autoSpaceDN w:val="0"/>
        <w:adjustRightInd w:val="0"/>
        <w:rPr>
          <w:rFonts w:ascii="Arial" w:hAnsi="Arial" w:cs="Arial"/>
        </w:rPr>
      </w:pPr>
    </w:p>
    <w:p w14:paraId="0BB0B09D" w14:textId="77BA14E5" w:rsidR="007461CA" w:rsidRPr="008F68CE" w:rsidRDefault="00442626" w:rsidP="007461CA">
      <w:pPr>
        <w:autoSpaceDE w:val="0"/>
        <w:autoSpaceDN w:val="0"/>
        <w:adjustRightInd w:val="0"/>
        <w:rPr>
          <w:rFonts w:ascii="Arial" w:hAnsi="Arial" w:cs="Arial"/>
          <w:b/>
        </w:rPr>
      </w:pPr>
      <w:r w:rsidRPr="008F68CE">
        <w:rPr>
          <w:rFonts w:ascii="Arial" w:hAnsi="Arial" w:cs="Arial"/>
          <w:b/>
        </w:rPr>
        <w:t>W</w:t>
      </w:r>
      <w:r w:rsidR="007461CA" w:rsidRPr="008F68CE">
        <w:rPr>
          <w:rFonts w:ascii="Arial" w:hAnsi="Arial" w:cs="Arial"/>
          <w:b/>
        </w:rPr>
        <w:t xml:space="preserve">hat do we learn about MCA compliance from </w:t>
      </w:r>
      <w:r w:rsidR="0008723D" w:rsidRPr="008F68CE">
        <w:rPr>
          <w:rFonts w:ascii="Arial" w:hAnsi="Arial" w:cs="Arial"/>
          <w:b/>
        </w:rPr>
        <w:t xml:space="preserve">safeguarding </w:t>
      </w:r>
      <w:proofErr w:type="gramStart"/>
      <w:r w:rsidR="0008723D" w:rsidRPr="008F68CE">
        <w:rPr>
          <w:rFonts w:ascii="Arial" w:hAnsi="Arial" w:cs="Arial"/>
          <w:b/>
        </w:rPr>
        <w:t>adults</w:t>
      </w:r>
      <w:proofErr w:type="gramEnd"/>
      <w:r w:rsidR="007461CA" w:rsidRPr="008F68CE">
        <w:rPr>
          <w:rFonts w:ascii="Arial" w:hAnsi="Arial" w:cs="Arial"/>
          <w:b/>
        </w:rPr>
        <w:t xml:space="preserve"> reviews</w:t>
      </w:r>
      <w:r w:rsidR="0008723D" w:rsidRPr="008F68CE">
        <w:rPr>
          <w:rFonts w:ascii="Arial" w:hAnsi="Arial" w:cs="Arial"/>
          <w:b/>
        </w:rPr>
        <w:t xml:space="preserve"> (SARs)</w:t>
      </w:r>
      <w:r w:rsidR="007461CA" w:rsidRPr="008F68CE">
        <w:rPr>
          <w:rFonts w:ascii="Arial" w:hAnsi="Arial" w:cs="Arial"/>
          <w:b/>
        </w:rPr>
        <w:t>?</w:t>
      </w:r>
    </w:p>
    <w:p w14:paraId="14743108" w14:textId="77777777" w:rsidR="007461CA" w:rsidRPr="008F68CE" w:rsidRDefault="007461CA" w:rsidP="007461CA">
      <w:pPr>
        <w:autoSpaceDE w:val="0"/>
        <w:autoSpaceDN w:val="0"/>
        <w:adjustRightInd w:val="0"/>
        <w:rPr>
          <w:rFonts w:ascii="Arial" w:hAnsi="Arial" w:cs="Arial"/>
        </w:rPr>
      </w:pPr>
    </w:p>
    <w:p w14:paraId="5C9C6A49" w14:textId="77777777" w:rsidR="0008723D" w:rsidRPr="008F68CE" w:rsidRDefault="009567A1" w:rsidP="000225B8">
      <w:pPr>
        <w:rPr>
          <w:rFonts w:ascii="Arial" w:hAnsi="Arial" w:cs="Arial"/>
        </w:rPr>
      </w:pPr>
      <w:r w:rsidRPr="008F68CE">
        <w:rPr>
          <w:rFonts w:ascii="Arial" w:hAnsi="Arial" w:cs="Arial"/>
        </w:rPr>
        <w:t>The importance of understanding i</w:t>
      </w:r>
      <w:r w:rsidR="008815FE" w:rsidRPr="008F68CE">
        <w:rPr>
          <w:rFonts w:ascii="Arial" w:hAnsi="Arial" w:cs="Arial"/>
        </w:rPr>
        <w:t xml:space="preserve">ssues about the LPS and their place within the wider MCA </w:t>
      </w:r>
      <w:r w:rsidRPr="008F68CE">
        <w:rPr>
          <w:rFonts w:ascii="Arial" w:hAnsi="Arial" w:cs="Arial"/>
        </w:rPr>
        <w:t xml:space="preserve">are borne out by </w:t>
      </w:r>
      <w:r w:rsidR="00D43F8B" w:rsidRPr="008F68CE">
        <w:rPr>
          <w:rFonts w:ascii="Arial" w:hAnsi="Arial" w:cs="Arial"/>
        </w:rPr>
        <w:t>research evidence</w:t>
      </w:r>
      <w:r w:rsidRPr="008F68CE">
        <w:rPr>
          <w:rFonts w:ascii="Arial" w:hAnsi="Arial" w:cs="Arial"/>
        </w:rPr>
        <w:t xml:space="preserve">.  </w:t>
      </w:r>
    </w:p>
    <w:p w14:paraId="45612DD7" w14:textId="77777777" w:rsidR="0008723D" w:rsidRPr="008F68CE" w:rsidRDefault="0008723D" w:rsidP="000225B8">
      <w:pPr>
        <w:rPr>
          <w:rFonts w:ascii="Arial" w:hAnsi="Arial" w:cs="Arial"/>
        </w:rPr>
      </w:pPr>
    </w:p>
    <w:p w14:paraId="4889CA03" w14:textId="33163360" w:rsidR="004D45BD" w:rsidRPr="008F68CE" w:rsidRDefault="0038290F" w:rsidP="000225B8">
      <w:pPr>
        <w:rPr>
          <w:rFonts w:ascii="Arial" w:hAnsi="Arial" w:cs="Arial"/>
        </w:rPr>
      </w:pPr>
      <w:r w:rsidRPr="008F68CE">
        <w:rPr>
          <w:rFonts w:ascii="Arial" w:hAnsi="Arial" w:cs="Arial"/>
        </w:rPr>
        <w:t>For a</w:t>
      </w:r>
      <w:r w:rsidR="009567A1" w:rsidRPr="008F68CE">
        <w:rPr>
          <w:rFonts w:ascii="Arial" w:hAnsi="Arial" w:cs="Arial"/>
        </w:rPr>
        <w:t xml:space="preserve">nalysis of </w:t>
      </w:r>
      <w:r w:rsidRPr="008F68CE">
        <w:rPr>
          <w:rFonts w:ascii="Arial" w:hAnsi="Arial" w:cs="Arial"/>
        </w:rPr>
        <w:t>safeguarding ad</w:t>
      </w:r>
      <w:r w:rsidR="0035346D" w:rsidRPr="008F68CE">
        <w:rPr>
          <w:rFonts w:ascii="Arial" w:hAnsi="Arial" w:cs="Arial"/>
        </w:rPr>
        <w:t>ults reviews</w:t>
      </w:r>
      <w:r w:rsidR="009567A1" w:rsidRPr="008F68CE">
        <w:rPr>
          <w:rFonts w:ascii="Arial" w:hAnsi="Arial" w:cs="Arial"/>
        </w:rPr>
        <w:t xml:space="preserve"> </w:t>
      </w:r>
      <w:r w:rsidR="007B2F81" w:rsidRPr="008F68CE">
        <w:rPr>
          <w:rFonts w:ascii="Arial" w:hAnsi="Arial" w:cs="Arial"/>
        </w:rPr>
        <w:t xml:space="preserve">see, </w:t>
      </w:r>
      <w:r w:rsidR="009567A1" w:rsidRPr="008F68CE">
        <w:rPr>
          <w:rFonts w:ascii="Arial" w:hAnsi="Arial" w:cs="Arial"/>
        </w:rPr>
        <w:t xml:space="preserve">for example, </w:t>
      </w:r>
      <w:r w:rsidR="0004225D" w:rsidRPr="008F68CE">
        <w:rPr>
          <w:rFonts w:ascii="Arial" w:hAnsi="Arial" w:cs="Arial"/>
        </w:rPr>
        <w:t>Braye, S and Preston-Shoot M</w:t>
      </w:r>
      <w:r w:rsidR="00711DDF" w:rsidRPr="008F68CE">
        <w:rPr>
          <w:rFonts w:ascii="Arial" w:hAnsi="Arial" w:cs="Arial"/>
        </w:rPr>
        <w:t xml:space="preserve"> (2019):</w:t>
      </w:r>
      <w:r w:rsidR="0004225D" w:rsidRPr="008F68CE">
        <w:rPr>
          <w:rFonts w:ascii="Arial" w:hAnsi="Arial" w:cs="Arial"/>
        </w:rPr>
        <w:t xml:space="preserve"> </w:t>
      </w:r>
      <w:r w:rsidR="00711DDF" w:rsidRPr="008F68CE">
        <w:rPr>
          <w:rFonts w:ascii="Arial" w:hAnsi="Arial" w:cs="Arial"/>
        </w:rPr>
        <w:t>Analysis of Safeguarding Adults Rev</w:t>
      </w:r>
      <w:r w:rsidR="00E75AE8" w:rsidRPr="008F68CE">
        <w:rPr>
          <w:rFonts w:ascii="Arial" w:hAnsi="Arial" w:cs="Arial"/>
        </w:rPr>
        <w:t xml:space="preserve">iews 2017-1019 </w:t>
      </w:r>
      <w:hyperlink r:id="rId6" w:history="1">
        <w:r w:rsidR="007A0CEC" w:rsidRPr="008F68CE">
          <w:rPr>
            <w:rStyle w:val="Hyperlink"/>
            <w:rFonts w:ascii="Arial" w:hAnsi="Arial" w:cs="Arial"/>
          </w:rPr>
          <w:t>https://www.local.gov.uk/publications/analysis-safeguarding-adult-reviews-april-2017-march-2019 (20</w:t>
        </w:r>
      </w:hyperlink>
      <w:r w:rsidR="007A0CEC" w:rsidRPr="008F68CE">
        <w:rPr>
          <w:rFonts w:ascii="Arial" w:hAnsi="Arial" w:cs="Arial"/>
        </w:rPr>
        <w:t>10)</w:t>
      </w:r>
      <w:r w:rsidR="00D43F8B" w:rsidRPr="008F68CE">
        <w:rPr>
          <w:rFonts w:ascii="Arial" w:hAnsi="Arial" w:cs="Arial"/>
        </w:rPr>
        <w:t xml:space="preserve">.  These show that serious adverse effects </w:t>
      </w:r>
      <w:r w:rsidR="004D45BD" w:rsidRPr="008F68CE">
        <w:rPr>
          <w:rFonts w:ascii="Arial" w:hAnsi="Arial" w:cs="Arial"/>
        </w:rPr>
        <w:t xml:space="preserve">are overwhelmingly often the result of a lack of understanding of the main </w:t>
      </w:r>
      <w:r w:rsidR="00D06EF3" w:rsidRPr="008F68CE">
        <w:rPr>
          <w:rFonts w:ascii="Arial" w:hAnsi="Arial" w:cs="Arial"/>
        </w:rPr>
        <w:t>elements</w:t>
      </w:r>
      <w:r w:rsidR="004D45BD" w:rsidRPr="008F68CE">
        <w:rPr>
          <w:rFonts w:ascii="Arial" w:hAnsi="Arial" w:cs="Arial"/>
        </w:rPr>
        <w:t xml:space="preserve"> of the MCA and how to apply them in practice.</w:t>
      </w:r>
      <w:r w:rsidR="0054331F">
        <w:rPr>
          <w:rFonts w:ascii="Arial" w:hAnsi="Arial" w:cs="Arial"/>
        </w:rPr>
        <w:t xml:space="preserve">  Professionals </w:t>
      </w:r>
      <w:r w:rsidR="006E569F">
        <w:rPr>
          <w:rFonts w:ascii="Arial" w:hAnsi="Arial" w:cs="Arial"/>
        </w:rPr>
        <w:t xml:space="preserve">too often </w:t>
      </w:r>
      <w:r w:rsidR="0054331F">
        <w:rPr>
          <w:rFonts w:ascii="Arial" w:hAnsi="Arial" w:cs="Arial"/>
        </w:rPr>
        <w:t xml:space="preserve">fail to </w:t>
      </w:r>
      <w:r w:rsidR="006E569F">
        <w:rPr>
          <w:rFonts w:ascii="Arial" w:hAnsi="Arial" w:cs="Arial"/>
        </w:rPr>
        <w:t>recognise a person’s lack of capacity to make decisions about their care and treatment, which can lead to very real needs being unmet, and</w:t>
      </w:r>
      <w:r w:rsidR="00C96741">
        <w:rPr>
          <w:rFonts w:ascii="Arial" w:hAnsi="Arial" w:cs="Arial"/>
        </w:rPr>
        <w:t xml:space="preserve"> </w:t>
      </w:r>
      <w:r w:rsidR="00DC4B62">
        <w:rPr>
          <w:rFonts w:ascii="Arial" w:hAnsi="Arial" w:cs="Arial"/>
        </w:rPr>
        <w:t xml:space="preserve">leave </w:t>
      </w:r>
      <w:r w:rsidR="00C96741">
        <w:rPr>
          <w:rFonts w:ascii="Arial" w:hAnsi="Arial" w:cs="Arial"/>
        </w:rPr>
        <w:t xml:space="preserve">vulnerable people </w:t>
      </w:r>
      <w:r w:rsidR="00DC4B62">
        <w:rPr>
          <w:rFonts w:ascii="Arial" w:hAnsi="Arial" w:cs="Arial"/>
        </w:rPr>
        <w:t xml:space="preserve">dangerously </w:t>
      </w:r>
      <w:r w:rsidR="00C96741">
        <w:rPr>
          <w:rFonts w:ascii="Arial" w:hAnsi="Arial" w:cs="Arial"/>
        </w:rPr>
        <w:t>unprotected.</w:t>
      </w:r>
    </w:p>
    <w:p w14:paraId="446095C0" w14:textId="77777777" w:rsidR="007A0CEC" w:rsidRPr="008F68CE" w:rsidRDefault="007A0CEC" w:rsidP="000225B8">
      <w:pPr>
        <w:rPr>
          <w:rFonts w:ascii="Arial" w:hAnsi="Arial" w:cs="Arial"/>
        </w:rPr>
      </w:pPr>
    </w:p>
    <w:p w14:paraId="6917A137" w14:textId="54F5A669" w:rsidR="00D06EF3" w:rsidRPr="008F68CE" w:rsidRDefault="00D06EF3" w:rsidP="000225B8">
      <w:pPr>
        <w:rPr>
          <w:rFonts w:ascii="Arial" w:hAnsi="Arial" w:cs="Arial"/>
        </w:rPr>
      </w:pPr>
      <w:r w:rsidRPr="008F68CE">
        <w:rPr>
          <w:rFonts w:ascii="Arial" w:hAnsi="Arial" w:cs="Arial"/>
        </w:rPr>
        <w:t xml:space="preserve">The implication of these and similar findings is that it is essential to </w:t>
      </w:r>
      <w:r w:rsidR="002A064C" w:rsidRPr="008F68CE">
        <w:rPr>
          <w:rFonts w:ascii="Arial" w:hAnsi="Arial" w:cs="Arial"/>
        </w:rPr>
        <w:t xml:space="preserve">continue to improve </w:t>
      </w:r>
      <w:r w:rsidR="00C96741">
        <w:rPr>
          <w:rFonts w:ascii="Arial" w:hAnsi="Arial" w:cs="Arial"/>
        </w:rPr>
        <w:t>understanding of the MCA, including LPS</w:t>
      </w:r>
      <w:r w:rsidR="008E7877">
        <w:rPr>
          <w:rFonts w:ascii="Arial" w:hAnsi="Arial" w:cs="Arial"/>
        </w:rPr>
        <w:t>,</w:t>
      </w:r>
      <w:r w:rsidR="002A064C" w:rsidRPr="008F68CE">
        <w:rPr>
          <w:rFonts w:ascii="Arial" w:hAnsi="Arial" w:cs="Arial"/>
        </w:rPr>
        <w:t xml:space="preserve"> </w:t>
      </w:r>
      <w:r w:rsidR="008E7877">
        <w:rPr>
          <w:rFonts w:ascii="Arial" w:hAnsi="Arial" w:cs="Arial"/>
        </w:rPr>
        <w:t>among</w:t>
      </w:r>
      <w:r w:rsidR="002A064C" w:rsidRPr="008F68CE">
        <w:rPr>
          <w:rFonts w:ascii="Arial" w:hAnsi="Arial" w:cs="Arial"/>
        </w:rPr>
        <w:t xml:space="preserve"> health and social care</w:t>
      </w:r>
      <w:r w:rsidR="00A66685" w:rsidRPr="008F68CE">
        <w:rPr>
          <w:rFonts w:ascii="Arial" w:hAnsi="Arial" w:cs="Arial"/>
        </w:rPr>
        <w:t xml:space="preserve"> </w:t>
      </w:r>
      <w:r w:rsidR="008E7877">
        <w:rPr>
          <w:rFonts w:ascii="Arial" w:hAnsi="Arial" w:cs="Arial"/>
        </w:rPr>
        <w:t xml:space="preserve">professionals working with </w:t>
      </w:r>
      <w:r w:rsidR="00A66685" w:rsidRPr="008F68CE">
        <w:rPr>
          <w:rFonts w:ascii="Arial" w:hAnsi="Arial" w:cs="Arial"/>
        </w:rPr>
        <w:t xml:space="preserve">adults </w:t>
      </w:r>
      <w:r w:rsidR="008E7877">
        <w:rPr>
          <w:rFonts w:ascii="Arial" w:hAnsi="Arial" w:cs="Arial"/>
        </w:rPr>
        <w:t>who may</w:t>
      </w:r>
      <w:r w:rsidR="00A66685" w:rsidRPr="008F68CE">
        <w:rPr>
          <w:rFonts w:ascii="Arial" w:hAnsi="Arial" w:cs="Arial"/>
        </w:rPr>
        <w:t xml:space="preserve"> lack capacity</w:t>
      </w:r>
      <w:r w:rsidR="002A064C" w:rsidRPr="008F68CE">
        <w:rPr>
          <w:rFonts w:ascii="Arial" w:hAnsi="Arial" w:cs="Arial"/>
        </w:rPr>
        <w:t>.</w:t>
      </w:r>
    </w:p>
    <w:p w14:paraId="4A90A9CD" w14:textId="77777777" w:rsidR="007461CA" w:rsidRPr="008F68CE" w:rsidRDefault="007A0986" w:rsidP="00A66685">
      <w:pPr>
        <w:rPr>
          <w:rFonts w:ascii="Arial" w:hAnsi="Arial" w:cs="Arial"/>
        </w:rPr>
      </w:pPr>
      <w:r w:rsidRPr="008F68CE">
        <w:rPr>
          <w:rFonts w:ascii="Arial" w:hAnsi="Arial" w:cs="Arial"/>
        </w:rPr>
        <w:t xml:space="preserve"> </w:t>
      </w:r>
    </w:p>
    <w:p w14:paraId="2ACEE9C0" w14:textId="1ED24C98" w:rsidR="007461CA" w:rsidRPr="008F68CE" w:rsidRDefault="009B5736" w:rsidP="007461CA">
      <w:pPr>
        <w:rPr>
          <w:rFonts w:ascii="Arial" w:hAnsi="Arial" w:cs="Arial"/>
          <w:b/>
        </w:rPr>
      </w:pPr>
      <w:r>
        <w:rPr>
          <w:rFonts w:ascii="Arial" w:hAnsi="Arial" w:cs="Arial"/>
          <w:b/>
        </w:rPr>
        <w:t>What principles should underpin</w:t>
      </w:r>
      <w:r w:rsidR="003223E1">
        <w:rPr>
          <w:rFonts w:ascii="Arial" w:hAnsi="Arial" w:cs="Arial"/>
          <w:b/>
        </w:rPr>
        <w:t xml:space="preserve"> audit and</w:t>
      </w:r>
      <w:r w:rsidR="007461CA" w:rsidRPr="008F68CE">
        <w:rPr>
          <w:rFonts w:ascii="Arial" w:hAnsi="Arial" w:cs="Arial"/>
          <w:b/>
        </w:rPr>
        <w:t xml:space="preserve"> monitor</w:t>
      </w:r>
      <w:r w:rsidR="003223E1">
        <w:rPr>
          <w:rFonts w:ascii="Arial" w:hAnsi="Arial" w:cs="Arial"/>
          <w:b/>
        </w:rPr>
        <w:t xml:space="preserve">ing of </w:t>
      </w:r>
      <w:r w:rsidR="007461CA" w:rsidRPr="008F68CE">
        <w:rPr>
          <w:rFonts w:ascii="Arial" w:hAnsi="Arial" w:cs="Arial"/>
          <w:b/>
        </w:rPr>
        <w:t xml:space="preserve">the </w:t>
      </w:r>
      <w:r>
        <w:rPr>
          <w:rFonts w:ascii="Arial" w:hAnsi="Arial" w:cs="Arial"/>
          <w:b/>
        </w:rPr>
        <w:t>liberty protection safeguards</w:t>
      </w:r>
      <w:r w:rsidR="007461CA" w:rsidRPr="008F68CE">
        <w:rPr>
          <w:rFonts w:ascii="Arial" w:hAnsi="Arial" w:cs="Arial"/>
          <w:b/>
        </w:rPr>
        <w:t>?</w:t>
      </w:r>
    </w:p>
    <w:p w14:paraId="088C7F71" w14:textId="77777777" w:rsidR="008E7877" w:rsidRDefault="008E7877">
      <w:pPr>
        <w:pStyle w:val="Body"/>
        <w:rPr>
          <w:rFonts w:ascii="Arial" w:hAnsi="Arial" w:cs="Arial"/>
        </w:rPr>
      </w:pPr>
    </w:p>
    <w:p w14:paraId="34A85C01" w14:textId="6833067B" w:rsidR="00414F1A" w:rsidRDefault="00D67BFB">
      <w:pPr>
        <w:pStyle w:val="Body"/>
        <w:rPr>
          <w:rFonts w:ascii="Arial" w:hAnsi="Arial" w:cs="Arial"/>
        </w:rPr>
      </w:pPr>
      <w:r w:rsidRPr="008F68CE">
        <w:rPr>
          <w:rFonts w:ascii="Arial" w:hAnsi="Arial" w:cs="Arial"/>
        </w:rPr>
        <w:t>T</w:t>
      </w:r>
      <w:r w:rsidR="005A4950" w:rsidRPr="008F68CE">
        <w:rPr>
          <w:rFonts w:ascii="Arial" w:hAnsi="Arial" w:cs="Arial"/>
        </w:rPr>
        <w:t xml:space="preserve">he missing feature of </w:t>
      </w:r>
      <w:r w:rsidR="00EB3F63" w:rsidRPr="008F68CE">
        <w:rPr>
          <w:rFonts w:ascii="Arial" w:hAnsi="Arial" w:cs="Arial"/>
        </w:rPr>
        <w:t>a lot of DoLS</w:t>
      </w:r>
      <w:r w:rsidR="005A4950" w:rsidRPr="008F68CE">
        <w:rPr>
          <w:rFonts w:ascii="Arial" w:hAnsi="Arial" w:cs="Arial"/>
        </w:rPr>
        <w:t xml:space="preserve"> recording and monitoring has been the ‘voice of the person’</w:t>
      </w:r>
      <w:r w:rsidR="00517FF8" w:rsidRPr="008F68CE">
        <w:rPr>
          <w:rFonts w:ascii="Arial" w:hAnsi="Arial" w:cs="Arial"/>
        </w:rPr>
        <w:t>, which must be central to all decision-making within the wider MCA</w:t>
      </w:r>
      <w:r w:rsidR="00EB3F63" w:rsidRPr="008F68CE">
        <w:rPr>
          <w:rFonts w:ascii="Arial" w:hAnsi="Arial" w:cs="Arial"/>
        </w:rPr>
        <w:t>. This is</w:t>
      </w:r>
      <w:r w:rsidRPr="008F68CE">
        <w:rPr>
          <w:rFonts w:ascii="Arial" w:hAnsi="Arial" w:cs="Arial"/>
        </w:rPr>
        <w:t xml:space="preserve"> highlighted by </w:t>
      </w:r>
      <w:r w:rsidR="005A4950" w:rsidRPr="008F68CE">
        <w:rPr>
          <w:rFonts w:ascii="Arial" w:hAnsi="Arial" w:cs="Arial"/>
        </w:rPr>
        <w:t xml:space="preserve">the OPCAT expectations that place the person’s experience at the </w:t>
      </w:r>
      <w:r w:rsidR="000E33AA" w:rsidRPr="008F68CE">
        <w:rPr>
          <w:rFonts w:ascii="Arial" w:hAnsi="Arial" w:cs="Arial"/>
        </w:rPr>
        <w:t xml:space="preserve">centre of information gathering. </w:t>
      </w:r>
      <w:r w:rsidR="00EF020E" w:rsidRPr="008F68CE">
        <w:rPr>
          <w:rFonts w:ascii="Arial" w:hAnsi="Arial" w:cs="Arial"/>
        </w:rPr>
        <w:t xml:space="preserve"> Successive CQC DoLS reports </w:t>
      </w:r>
      <w:r w:rsidR="007D309E" w:rsidRPr="008F68CE">
        <w:rPr>
          <w:rFonts w:ascii="Arial" w:hAnsi="Arial" w:cs="Arial"/>
        </w:rPr>
        <w:t>provide bleak evidence of</w:t>
      </w:r>
      <w:r w:rsidR="00EF020E" w:rsidRPr="008F68CE">
        <w:rPr>
          <w:rFonts w:ascii="Arial" w:hAnsi="Arial" w:cs="Arial"/>
        </w:rPr>
        <w:t xml:space="preserve"> how hard it is to find any records of the person’s actual words or actions that would communicate their happiness, or otherwise, with their care plans and </w:t>
      </w:r>
      <w:r w:rsidR="007D309E" w:rsidRPr="008F68CE">
        <w:rPr>
          <w:rFonts w:ascii="Arial" w:hAnsi="Arial" w:cs="Arial"/>
        </w:rPr>
        <w:t xml:space="preserve">with </w:t>
      </w:r>
      <w:r w:rsidR="00EF020E" w:rsidRPr="008F68CE">
        <w:rPr>
          <w:rFonts w:ascii="Arial" w:hAnsi="Arial" w:cs="Arial"/>
        </w:rPr>
        <w:t xml:space="preserve">how they are being treated. </w:t>
      </w:r>
    </w:p>
    <w:p w14:paraId="2CD39C6D" w14:textId="77777777" w:rsidR="003256B6" w:rsidRDefault="003256B6">
      <w:pPr>
        <w:pStyle w:val="Body"/>
        <w:rPr>
          <w:rFonts w:ascii="Arial" w:hAnsi="Arial" w:cs="Arial"/>
        </w:rPr>
      </w:pPr>
    </w:p>
    <w:p w14:paraId="185F7C3E" w14:textId="65DA08A8" w:rsidR="003256B6" w:rsidRDefault="003256B6">
      <w:pPr>
        <w:pStyle w:val="Body"/>
        <w:rPr>
          <w:rFonts w:ascii="Arial" w:hAnsi="Arial" w:cs="Arial"/>
        </w:rPr>
      </w:pPr>
      <w:r>
        <w:rPr>
          <w:rFonts w:ascii="Arial" w:hAnsi="Arial" w:cs="Arial"/>
        </w:rPr>
        <w:t xml:space="preserve">A major challenge comes with the </w:t>
      </w:r>
      <w:r w:rsidR="00B8608A">
        <w:rPr>
          <w:rFonts w:ascii="Arial" w:hAnsi="Arial" w:cs="Arial"/>
        </w:rPr>
        <w:t xml:space="preserve">far wider scope of LPS, to include younger people and those living in </w:t>
      </w:r>
      <w:r w:rsidR="001D0E4A">
        <w:rPr>
          <w:rFonts w:ascii="Arial" w:hAnsi="Arial" w:cs="Arial"/>
        </w:rPr>
        <w:t xml:space="preserve">community settings: this is to recognise the importance of </w:t>
      </w:r>
      <w:r w:rsidR="00852DC7">
        <w:rPr>
          <w:rFonts w:ascii="Arial" w:hAnsi="Arial" w:cs="Arial"/>
        </w:rPr>
        <w:t>retaining as much autonomy as possible for the individual who receives services. It is essential for commissioners and providers of services to do all they can to preserve</w:t>
      </w:r>
      <w:r w:rsidR="00904A52">
        <w:rPr>
          <w:rFonts w:ascii="Arial" w:hAnsi="Arial" w:cs="Arial"/>
        </w:rPr>
        <w:t xml:space="preserve"> the natural rights of people to live as they choose, even when their</w:t>
      </w:r>
      <w:r w:rsidR="00A963B2">
        <w:rPr>
          <w:rFonts w:ascii="Arial" w:hAnsi="Arial" w:cs="Arial"/>
        </w:rPr>
        <w:t xml:space="preserve"> care needs mean they might need to be deprived of their liberty, </w:t>
      </w:r>
      <w:r w:rsidR="00904A52">
        <w:rPr>
          <w:rFonts w:ascii="Arial" w:hAnsi="Arial" w:cs="Arial"/>
        </w:rPr>
        <w:t>rather than thoughtlessly to make them fit models of institutional care.</w:t>
      </w:r>
      <w:r w:rsidR="00A963B2">
        <w:rPr>
          <w:rFonts w:ascii="Arial" w:hAnsi="Arial" w:cs="Arial"/>
        </w:rPr>
        <w:t xml:space="preserve"> Young people have vastly different </w:t>
      </w:r>
      <w:r w:rsidR="000E46C6">
        <w:rPr>
          <w:rFonts w:ascii="Arial" w:hAnsi="Arial" w:cs="Arial"/>
        </w:rPr>
        <w:t>wishes and feelings about their lives from most older people, and it is</w:t>
      </w:r>
      <w:r w:rsidR="003B1D78">
        <w:rPr>
          <w:rFonts w:ascii="Arial" w:hAnsi="Arial" w:cs="Arial"/>
        </w:rPr>
        <w:t xml:space="preserve"> right to enable these.</w:t>
      </w:r>
    </w:p>
    <w:p w14:paraId="0E53C314" w14:textId="77777777" w:rsidR="008E7877" w:rsidRPr="008F68CE" w:rsidRDefault="008E7877">
      <w:pPr>
        <w:pStyle w:val="Body"/>
        <w:rPr>
          <w:rFonts w:ascii="Arial" w:hAnsi="Arial" w:cs="Arial"/>
        </w:rPr>
      </w:pPr>
    </w:p>
    <w:p w14:paraId="41733330" w14:textId="77777777" w:rsidR="00D5084E" w:rsidRDefault="000E254A">
      <w:pPr>
        <w:pStyle w:val="Body"/>
        <w:rPr>
          <w:rFonts w:ascii="Arial" w:hAnsi="Arial" w:cs="Arial"/>
        </w:rPr>
      </w:pPr>
      <w:r w:rsidRPr="008F68CE">
        <w:rPr>
          <w:rFonts w:ascii="Arial" w:hAnsi="Arial" w:cs="Arial"/>
        </w:rPr>
        <w:t>It is important</w:t>
      </w:r>
      <w:r w:rsidR="004854EE" w:rsidRPr="008F68CE">
        <w:rPr>
          <w:rFonts w:ascii="Arial" w:hAnsi="Arial" w:cs="Arial"/>
        </w:rPr>
        <w:t xml:space="preserve"> that the new responsible bodies in NHS hospitals and </w:t>
      </w:r>
      <w:r w:rsidR="00FF04A3" w:rsidRPr="008F68CE">
        <w:rPr>
          <w:rFonts w:ascii="Arial" w:hAnsi="Arial" w:cs="Arial"/>
        </w:rPr>
        <w:t xml:space="preserve">integrated care systems (ICSs), which will replace </w:t>
      </w:r>
      <w:r w:rsidR="004854EE" w:rsidRPr="008F68CE">
        <w:rPr>
          <w:rFonts w:ascii="Arial" w:hAnsi="Arial" w:cs="Arial"/>
        </w:rPr>
        <w:t>clinical commissioning groups (CCGs)</w:t>
      </w:r>
      <w:r w:rsidR="003300C4" w:rsidRPr="008F68CE">
        <w:rPr>
          <w:rFonts w:ascii="Arial" w:hAnsi="Arial" w:cs="Arial"/>
        </w:rPr>
        <w:t xml:space="preserve"> </w:t>
      </w:r>
      <w:r w:rsidR="00FF04A3" w:rsidRPr="008F68CE">
        <w:rPr>
          <w:rFonts w:ascii="Arial" w:hAnsi="Arial" w:cs="Arial"/>
        </w:rPr>
        <w:t xml:space="preserve">from April </w:t>
      </w:r>
      <w:r w:rsidR="00D5084E" w:rsidRPr="008F68CE">
        <w:rPr>
          <w:rFonts w:ascii="Arial" w:hAnsi="Arial" w:cs="Arial"/>
        </w:rPr>
        <w:t>2022, should</w:t>
      </w:r>
      <w:r w:rsidR="001F20F0" w:rsidRPr="008F68CE">
        <w:rPr>
          <w:rFonts w:ascii="Arial" w:hAnsi="Arial" w:cs="Arial"/>
        </w:rPr>
        <w:t xml:space="preserve"> set up systems from the very start to audit person-centred care</w:t>
      </w:r>
      <w:r w:rsidR="006562CF" w:rsidRPr="008F68CE">
        <w:rPr>
          <w:rFonts w:ascii="Arial" w:hAnsi="Arial" w:cs="Arial"/>
        </w:rPr>
        <w:t>. They need to assess</w:t>
      </w:r>
      <w:r w:rsidR="001F20F0" w:rsidRPr="008F68CE">
        <w:rPr>
          <w:rFonts w:ascii="Arial" w:hAnsi="Arial" w:cs="Arial"/>
        </w:rPr>
        <w:t xml:space="preserve"> how actively </w:t>
      </w:r>
      <w:r w:rsidR="000941D6" w:rsidRPr="008F68CE">
        <w:rPr>
          <w:rFonts w:ascii="Arial" w:hAnsi="Arial" w:cs="Arial"/>
        </w:rPr>
        <w:t xml:space="preserve">their organisation is </w:t>
      </w:r>
      <w:r w:rsidR="003300C4" w:rsidRPr="008F68CE">
        <w:rPr>
          <w:rFonts w:ascii="Arial" w:hAnsi="Arial" w:cs="Arial"/>
        </w:rPr>
        <w:t>work</w:t>
      </w:r>
      <w:r w:rsidR="000941D6" w:rsidRPr="008F68CE">
        <w:rPr>
          <w:rFonts w:ascii="Arial" w:hAnsi="Arial" w:cs="Arial"/>
        </w:rPr>
        <w:t>ing</w:t>
      </w:r>
      <w:r w:rsidR="003300C4" w:rsidRPr="008F68CE">
        <w:rPr>
          <w:rFonts w:ascii="Arial" w:hAnsi="Arial" w:cs="Arial"/>
        </w:rPr>
        <w:t xml:space="preserve"> to align care and treatment with the wishes and feelings of the person at the heart of the process.  </w:t>
      </w:r>
    </w:p>
    <w:p w14:paraId="6854FCE0" w14:textId="77777777" w:rsidR="00D5084E" w:rsidRDefault="00D5084E">
      <w:pPr>
        <w:pStyle w:val="Body"/>
        <w:rPr>
          <w:rFonts w:ascii="Arial" w:hAnsi="Arial" w:cs="Arial"/>
        </w:rPr>
      </w:pPr>
    </w:p>
    <w:p w14:paraId="39DE531A" w14:textId="37FF1282" w:rsidR="00414F1A" w:rsidRDefault="003300C4">
      <w:pPr>
        <w:pStyle w:val="Body"/>
        <w:rPr>
          <w:rFonts w:ascii="Arial" w:hAnsi="Arial" w:cs="Arial"/>
        </w:rPr>
      </w:pPr>
      <w:r w:rsidRPr="008F68CE">
        <w:rPr>
          <w:rFonts w:ascii="Arial" w:hAnsi="Arial" w:cs="Arial"/>
        </w:rPr>
        <w:t xml:space="preserve">After all, if </w:t>
      </w:r>
      <w:r w:rsidR="0067069F" w:rsidRPr="008F68CE">
        <w:rPr>
          <w:rFonts w:ascii="Arial" w:hAnsi="Arial" w:cs="Arial"/>
        </w:rPr>
        <w:t xml:space="preserve">the </w:t>
      </w:r>
      <w:r w:rsidR="00D45A1E" w:rsidRPr="008F68CE">
        <w:rPr>
          <w:rFonts w:ascii="Arial" w:hAnsi="Arial" w:cs="Arial"/>
        </w:rPr>
        <w:t xml:space="preserve">LPS </w:t>
      </w:r>
      <w:r w:rsidR="0067069F" w:rsidRPr="008F68CE">
        <w:rPr>
          <w:rFonts w:ascii="Arial" w:hAnsi="Arial" w:cs="Arial"/>
        </w:rPr>
        <w:t xml:space="preserve">system </w:t>
      </w:r>
      <w:r w:rsidR="00D45A1E" w:rsidRPr="008F68CE">
        <w:rPr>
          <w:rFonts w:ascii="Arial" w:hAnsi="Arial" w:cs="Arial"/>
        </w:rPr>
        <w:t xml:space="preserve">doesn’t </w:t>
      </w:r>
      <w:r w:rsidR="00D5084E">
        <w:rPr>
          <w:rFonts w:ascii="Arial" w:hAnsi="Arial" w:cs="Arial"/>
        </w:rPr>
        <w:t>fulfil the government’s policy aim to ‘improve outcomes</w:t>
      </w:r>
      <w:r w:rsidR="005D497B">
        <w:rPr>
          <w:rFonts w:ascii="Arial" w:hAnsi="Arial" w:cs="Arial"/>
        </w:rPr>
        <w:t xml:space="preserve"> for people’, meaning, surely, to </w:t>
      </w:r>
      <w:r w:rsidR="00D45A1E" w:rsidRPr="008F68CE">
        <w:rPr>
          <w:rFonts w:ascii="Arial" w:hAnsi="Arial" w:cs="Arial"/>
        </w:rPr>
        <w:t>enhance the happiness and autonomy of those</w:t>
      </w:r>
      <w:r w:rsidR="00867973" w:rsidRPr="008F68CE">
        <w:rPr>
          <w:rFonts w:ascii="Arial" w:hAnsi="Arial" w:cs="Arial"/>
        </w:rPr>
        <w:t xml:space="preserve"> </w:t>
      </w:r>
      <w:r w:rsidR="00D5084E" w:rsidRPr="008F68CE">
        <w:rPr>
          <w:rFonts w:ascii="Arial" w:hAnsi="Arial" w:cs="Arial"/>
        </w:rPr>
        <w:t>very people</w:t>
      </w:r>
      <w:r w:rsidR="0067069F" w:rsidRPr="008F68CE">
        <w:rPr>
          <w:rFonts w:ascii="Arial" w:hAnsi="Arial" w:cs="Arial"/>
        </w:rPr>
        <w:t xml:space="preserve"> </w:t>
      </w:r>
      <w:r w:rsidR="00D45A1E" w:rsidRPr="008F68CE">
        <w:rPr>
          <w:rFonts w:ascii="Arial" w:hAnsi="Arial" w:cs="Arial"/>
        </w:rPr>
        <w:t>who</w:t>
      </w:r>
      <w:r w:rsidR="00353E62" w:rsidRPr="008F68CE">
        <w:rPr>
          <w:rFonts w:ascii="Arial" w:hAnsi="Arial" w:cs="Arial"/>
        </w:rPr>
        <w:t xml:space="preserve"> are so vulnerable to having the</w:t>
      </w:r>
      <w:r w:rsidR="0067069F" w:rsidRPr="008F68CE">
        <w:rPr>
          <w:rFonts w:ascii="Arial" w:hAnsi="Arial" w:cs="Arial"/>
        </w:rPr>
        <w:t>ir</w:t>
      </w:r>
      <w:r w:rsidR="00353E62" w:rsidRPr="008F68CE">
        <w:rPr>
          <w:rFonts w:ascii="Arial" w:hAnsi="Arial" w:cs="Arial"/>
        </w:rPr>
        <w:t xml:space="preserve"> freedoms curtailed, there </w:t>
      </w:r>
      <w:r w:rsidR="00867973" w:rsidRPr="008F68CE">
        <w:rPr>
          <w:rFonts w:ascii="Arial" w:hAnsi="Arial" w:cs="Arial"/>
        </w:rPr>
        <w:t>must be</w:t>
      </w:r>
      <w:r w:rsidR="00353E62" w:rsidRPr="008F68CE">
        <w:rPr>
          <w:rFonts w:ascii="Arial" w:hAnsi="Arial" w:cs="Arial"/>
        </w:rPr>
        <w:t xml:space="preserve"> serious question</w:t>
      </w:r>
      <w:r w:rsidR="00E4705E" w:rsidRPr="008F68CE">
        <w:rPr>
          <w:rFonts w:ascii="Arial" w:hAnsi="Arial" w:cs="Arial"/>
        </w:rPr>
        <w:t>s</w:t>
      </w:r>
      <w:r w:rsidR="00353E62" w:rsidRPr="008F68CE">
        <w:rPr>
          <w:rFonts w:ascii="Arial" w:hAnsi="Arial" w:cs="Arial"/>
        </w:rPr>
        <w:t xml:space="preserve"> about the</w:t>
      </w:r>
      <w:r w:rsidR="00567D68" w:rsidRPr="008F68CE">
        <w:rPr>
          <w:rFonts w:ascii="Arial" w:hAnsi="Arial" w:cs="Arial"/>
        </w:rPr>
        <w:t xml:space="preserve"> system’s</w:t>
      </w:r>
      <w:r w:rsidR="00353E62" w:rsidRPr="008F68CE">
        <w:rPr>
          <w:rFonts w:ascii="Arial" w:hAnsi="Arial" w:cs="Arial"/>
        </w:rPr>
        <w:t xml:space="preserve"> </w:t>
      </w:r>
      <w:r w:rsidR="00E4705E" w:rsidRPr="008F68CE">
        <w:rPr>
          <w:rFonts w:ascii="Arial" w:hAnsi="Arial" w:cs="Arial"/>
        </w:rPr>
        <w:t xml:space="preserve">wider </w:t>
      </w:r>
      <w:r w:rsidR="00353E62" w:rsidRPr="008F68CE">
        <w:rPr>
          <w:rFonts w:ascii="Arial" w:hAnsi="Arial" w:cs="Arial"/>
        </w:rPr>
        <w:t>purpose</w:t>
      </w:r>
      <w:r w:rsidR="003B1F1A" w:rsidRPr="008F68CE">
        <w:rPr>
          <w:rFonts w:ascii="Arial" w:hAnsi="Arial" w:cs="Arial"/>
        </w:rPr>
        <w:t xml:space="preserve"> and efficacy</w:t>
      </w:r>
      <w:r w:rsidR="00353E62" w:rsidRPr="008F68CE">
        <w:rPr>
          <w:rFonts w:ascii="Arial" w:hAnsi="Arial" w:cs="Arial"/>
        </w:rPr>
        <w:t>.</w:t>
      </w:r>
    </w:p>
    <w:p w14:paraId="267C6D0F" w14:textId="77777777" w:rsidR="00736E04" w:rsidRDefault="00736E04">
      <w:pPr>
        <w:pStyle w:val="Body"/>
        <w:rPr>
          <w:rFonts w:ascii="Arial" w:hAnsi="Arial" w:cs="Arial"/>
        </w:rPr>
      </w:pPr>
    </w:p>
    <w:p w14:paraId="10895FB1" w14:textId="152F9089" w:rsidR="00736E04" w:rsidRPr="003D1B78" w:rsidRDefault="008E7877">
      <w:pPr>
        <w:pStyle w:val="Body"/>
        <w:rPr>
          <w:rFonts w:ascii="Arial" w:hAnsi="Arial" w:cs="Arial"/>
          <w:b/>
          <w:bCs/>
        </w:rPr>
      </w:pPr>
      <w:r>
        <w:rPr>
          <w:rFonts w:ascii="Arial" w:hAnsi="Arial" w:cs="Arial"/>
          <w:b/>
          <w:bCs/>
        </w:rPr>
        <w:t xml:space="preserve">Further </w:t>
      </w:r>
      <w:r w:rsidR="00736E04" w:rsidRPr="003D1B78">
        <w:rPr>
          <w:rFonts w:ascii="Arial" w:hAnsi="Arial" w:cs="Arial"/>
          <w:b/>
          <w:bCs/>
        </w:rPr>
        <w:t>Resources</w:t>
      </w:r>
    </w:p>
    <w:p w14:paraId="4FA4817D" w14:textId="77777777" w:rsidR="003D1B78" w:rsidRDefault="003D1B78">
      <w:pPr>
        <w:pStyle w:val="Body"/>
        <w:rPr>
          <w:rFonts w:ascii="Arial" w:hAnsi="Arial" w:cs="Arial"/>
        </w:rPr>
      </w:pPr>
    </w:p>
    <w:p w14:paraId="1E9796BC" w14:textId="02CE932D" w:rsidR="001C17FB" w:rsidRDefault="00CA6D09">
      <w:pPr>
        <w:pStyle w:val="Body"/>
        <w:rPr>
          <w:rFonts w:ascii="Arial" w:hAnsi="Arial" w:cs="Arial"/>
        </w:rPr>
      </w:pPr>
      <w:r>
        <w:rPr>
          <w:rFonts w:ascii="Arial" w:hAnsi="Arial" w:cs="Arial"/>
        </w:rPr>
        <w:t>T</w:t>
      </w:r>
      <w:r w:rsidR="003D1B78">
        <w:rPr>
          <w:rFonts w:ascii="Arial" w:hAnsi="Arial" w:cs="Arial"/>
        </w:rPr>
        <w:t xml:space="preserve">he Mental Capacity Amendment Act 2019, which </w:t>
      </w:r>
      <w:r w:rsidR="001C17FB">
        <w:rPr>
          <w:rFonts w:ascii="Arial" w:hAnsi="Arial" w:cs="Arial"/>
        </w:rPr>
        <w:t xml:space="preserve">brings into law the liberty protection safeguards (LPS): </w:t>
      </w:r>
      <w:hyperlink r:id="rId7" w:history="1">
        <w:r w:rsidR="00541E1B" w:rsidRPr="00534FE2">
          <w:rPr>
            <w:rStyle w:val="Hyperlink"/>
            <w:rFonts w:ascii="Arial" w:hAnsi="Arial" w:cs="Arial"/>
          </w:rPr>
          <w:t>https://www.legislation.gov.uk/ukpga/2019/18/pdfs/ukpga_20190018_en.pdf</w:t>
        </w:r>
      </w:hyperlink>
      <w:r w:rsidR="00541E1B">
        <w:rPr>
          <w:rFonts w:ascii="Arial" w:hAnsi="Arial" w:cs="Arial"/>
        </w:rPr>
        <w:t xml:space="preserve"> </w:t>
      </w:r>
    </w:p>
    <w:p w14:paraId="6413D8C3" w14:textId="77777777" w:rsidR="001C17FB" w:rsidRDefault="001C17FB">
      <w:pPr>
        <w:pStyle w:val="Body"/>
        <w:rPr>
          <w:rFonts w:ascii="Arial" w:hAnsi="Arial" w:cs="Arial"/>
        </w:rPr>
      </w:pPr>
    </w:p>
    <w:p w14:paraId="7A88DA34" w14:textId="524847AC" w:rsidR="00736E04" w:rsidRDefault="00CA6D09">
      <w:pPr>
        <w:pStyle w:val="Body"/>
        <w:rPr>
          <w:rFonts w:ascii="Arial" w:hAnsi="Arial" w:cs="Arial"/>
        </w:rPr>
      </w:pPr>
      <w:r>
        <w:rPr>
          <w:rFonts w:ascii="Arial" w:hAnsi="Arial" w:cs="Arial"/>
        </w:rPr>
        <w:t>U</w:t>
      </w:r>
      <w:r w:rsidR="00736E04">
        <w:rPr>
          <w:rFonts w:ascii="Arial" w:hAnsi="Arial" w:cs="Arial"/>
        </w:rPr>
        <w:t>p</w:t>
      </w:r>
      <w:r>
        <w:rPr>
          <w:rFonts w:ascii="Arial" w:hAnsi="Arial" w:cs="Arial"/>
        </w:rPr>
        <w:t>-</w:t>
      </w:r>
      <w:r w:rsidR="00736E04">
        <w:rPr>
          <w:rFonts w:ascii="Arial" w:hAnsi="Arial" w:cs="Arial"/>
        </w:rPr>
        <w:t>to</w:t>
      </w:r>
      <w:r>
        <w:rPr>
          <w:rFonts w:ascii="Arial" w:hAnsi="Arial" w:cs="Arial"/>
        </w:rPr>
        <w:t>-</w:t>
      </w:r>
      <w:r w:rsidR="00736E04">
        <w:rPr>
          <w:rFonts w:ascii="Arial" w:hAnsi="Arial" w:cs="Arial"/>
        </w:rPr>
        <w:t>date information on LPS implementation, see</w:t>
      </w:r>
      <w:r w:rsidR="003D1B78">
        <w:rPr>
          <w:rFonts w:ascii="Arial" w:hAnsi="Arial" w:cs="Arial"/>
        </w:rPr>
        <w:t xml:space="preserve"> the DHSC LPS page</w:t>
      </w:r>
      <w:r w:rsidR="00736E04">
        <w:rPr>
          <w:rFonts w:ascii="Arial" w:hAnsi="Arial" w:cs="Arial"/>
        </w:rPr>
        <w:t xml:space="preserve">: </w:t>
      </w:r>
      <w:hyperlink r:id="rId8" w:history="1">
        <w:r w:rsidR="003D1B78" w:rsidRPr="00534FE2">
          <w:rPr>
            <w:rStyle w:val="Hyperlink"/>
            <w:rFonts w:ascii="Arial" w:hAnsi="Arial" w:cs="Arial"/>
          </w:rPr>
          <w:t>https://www.gov.uk/government/publications/liberty-protection-safeguards-factsheets</w:t>
        </w:r>
      </w:hyperlink>
      <w:r w:rsidR="003D1B78">
        <w:rPr>
          <w:rFonts w:ascii="Arial" w:hAnsi="Arial" w:cs="Arial"/>
        </w:rPr>
        <w:t xml:space="preserve"> </w:t>
      </w:r>
    </w:p>
    <w:p w14:paraId="7C77BC1C" w14:textId="77777777" w:rsidR="00CA6D09" w:rsidRDefault="00CA6D09">
      <w:pPr>
        <w:pStyle w:val="Body"/>
        <w:rPr>
          <w:rFonts w:ascii="Arial" w:hAnsi="Arial" w:cs="Arial"/>
        </w:rPr>
      </w:pPr>
    </w:p>
    <w:p w14:paraId="62559208" w14:textId="01033856" w:rsidR="00CA6D09" w:rsidRPr="001C7AEF" w:rsidRDefault="001C7AEF">
      <w:pPr>
        <w:pStyle w:val="Body"/>
        <w:rPr>
          <w:rFonts w:ascii="Arial" w:hAnsi="Arial" w:cs="Arial"/>
          <w:b/>
          <w:bCs/>
        </w:rPr>
      </w:pPr>
      <w:r>
        <w:rPr>
          <w:rFonts w:ascii="Arial" w:hAnsi="Arial" w:cs="Arial"/>
        </w:rPr>
        <w:t xml:space="preserve">39 Essex Chambers: </w:t>
      </w:r>
      <w:r w:rsidR="00CA6D09">
        <w:rPr>
          <w:rFonts w:ascii="Arial" w:hAnsi="Arial" w:cs="Arial"/>
        </w:rPr>
        <w:t xml:space="preserve">Guidance </w:t>
      </w:r>
      <w:r>
        <w:rPr>
          <w:rFonts w:ascii="Arial" w:hAnsi="Arial" w:cs="Arial"/>
        </w:rPr>
        <w:t xml:space="preserve">note </w:t>
      </w:r>
      <w:r w:rsidR="00CA6D09">
        <w:rPr>
          <w:rFonts w:ascii="Arial" w:hAnsi="Arial" w:cs="Arial"/>
        </w:rPr>
        <w:t>on</w:t>
      </w:r>
      <w:r w:rsidR="004E67F3">
        <w:rPr>
          <w:rFonts w:ascii="Arial" w:hAnsi="Arial" w:cs="Arial"/>
        </w:rPr>
        <w:t xml:space="preserve"> determining and recording best interests in health and social care: </w:t>
      </w:r>
      <w:r w:rsidR="00CA6D09">
        <w:rPr>
          <w:rFonts w:ascii="Arial" w:hAnsi="Arial" w:cs="Arial"/>
        </w:rPr>
        <w:t xml:space="preserve"> </w:t>
      </w:r>
      <w:hyperlink r:id="rId9" w:history="1">
        <w:r w:rsidRPr="00534FE2">
          <w:rPr>
            <w:rStyle w:val="Hyperlink"/>
            <w:rFonts w:ascii="Arial" w:hAnsi="Arial" w:cs="Arial"/>
          </w:rPr>
          <w:t>https://1f2ca7mxjow42e65q49871m1-wpengine.netdna-ssl.com/wp-content/uploads/2020/07/Mental-Capacity-Guidance-Note-Best-Interests-July-2020.pdf</w:t>
        </w:r>
      </w:hyperlink>
      <w:r>
        <w:rPr>
          <w:rFonts w:ascii="Arial" w:hAnsi="Arial" w:cs="Arial"/>
        </w:rPr>
        <w:t xml:space="preserve"> </w:t>
      </w:r>
    </w:p>
    <w:p w14:paraId="2126E3E4" w14:textId="77777777" w:rsidR="000E33AA" w:rsidRDefault="000E33AA">
      <w:pPr>
        <w:pStyle w:val="Body"/>
        <w:rPr>
          <w:rFonts w:ascii="Arial" w:hAnsi="Arial" w:cs="Arial"/>
        </w:rPr>
      </w:pPr>
    </w:p>
    <w:p w14:paraId="2C661099" w14:textId="27F46B5E" w:rsidR="009E2547" w:rsidRDefault="0039152D">
      <w:pPr>
        <w:pStyle w:val="Body"/>
        <w:rPr>
          <w:rFonts w:ascii="Arial" w:hAnsi="Arial" w:cs="Arial"/>
        </w:rPr>
      </w:pPr>
      <w:r>
        <w:rPr>
          <w:rFonts w:ascii="Arial" w:hAnsi="Arial" w:cs="Arial"/>
        </w:rPr>
        <w:t>Optional Protocol to the Convention against Torture: UK National Preventative Mechanism (NPM) Eleventh Annual Report</w:t>
      </w:r>
      <w:r w:rsidR="000435F9">
        <w:rPr>
          <w:rFonts w:ascii="Arial" w:hAnsi="Arial" w:cs="Arial"/>
        </w:rPr>
        <w:t xml:space="preserve"> (February 2021) </w:t>
      </w:r>
      <w:r>
        <w:rPr>
          <w:rFonts w:ascii="Arial" w:hAnsi="Arial" w:cs="Arial"/>
        </w:rPr>
        <w:t xml:space="preserve"> </w:t>
      </w:r>
      <w:hyperlink r:id="rId10" w:history="1">
        <w:r w:rsidRPr="00534FE2">
          <w:rPr>
            <w:rStyle w:val="Hyperlink"/>
            <w:rFonts w:ascii="Arial" w:hAnsi="Arial" w:cs="Arial"/>
          </w:rPr>
          <w:t>https://s3-eu-west-2.amazonaws.com/npm-prod-storage-19n0nag2nk8xk/uploads/2021/02/6.6949_NPM_AnnualReport_2019_20_WEB.pdf</w:t>
        </w:r>
      </w:hyperlink>
      <w:r>
        <w:rPr>
          <w:rFonts w:ascii="Arial" w:hAnsi="Arial" w:cs="Arial"/>
        </w:rPr>
        <w:t xml:space="preserve"> </w:t>
      </w:r>
    </w:p>
    <w:p w14:paraId="0D04F408" w14:textId="77777777" w:rsidR="00290F34" w:rsidRPr="008F68CE" w:rsidRDefault="00290F34">
      <w:pPr>
        <w:pStyle w:val="Body"/>
        <w:rPr>
          <w:rFonts w:ascii="Arial" w:hAnsi="Arial" w:cs="Arial"/>
        </w:rPr>
      </w:pPr>
    </w:p>
    <w:p w14:paraId="6C015454" w14:textId="77777777" w:rsidR="00B7783D" w:rsidRPr="008F68CE" w:rsidRDefault="000E33AA">
      <w:pPr>
        <w:pStyle w:val="Body"/>
        <w:rPr>
          <w:rFonts w:ascii="Arial" w:hAnsi="Arial" w:cs="Arial"/>
        </w:rPr>
      </w:pPr>
      <w:r w:rsidRPr="008F68CE">
        <w:rPr>
          <w:rFonts w:ascii="Arial" w:hAnsi="Arial" w:cs="Arial"/>
        </w:rPr>
        <w:t>Rachel Griffiths</w:t>
      </w:r>
      <w:r w:rsidR="00E347A7" w:rsidRPr="008F68CE">
        <w:rPr>
          <w:rFonts w:ascii="Arial" w:hAnsi="Arial" w:cs="Arial"/>
        </w:rPr>
        <w:t xml:space="preserve">  </w:t>
      </w:r>
    </w:p>
    <w:p w14:paraId="0A0D04B1" w14:textId="3B854EBA" w:rsidR="00850453" w:rsidRPr="008F68CE" w:rsidRDefault="00DA1785">
      <w:pPr>
        <w:pStyle w:val="Body"/>
        <w:rPr>
          <w:rFonts w:ascii="Arial" w:hAnsi="Arial" w:cs="Arial"/>
        </w:rPr>
      </w:pPr>
      <w:r w:rsidRPr="008F68CE">
        <w:rPr>
          <w:rFonts w:ascii="Arial" w:hAnsi="Arial" w:cs="Arial"/>
        </w:rPr>
        <w:t>19 November 2021</w:t>
      </w:r>
    </w:p>
    <w:sectPr w:rsidR="00850453" w:rsidRPr="008F68CE">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D465" w14:textId="77777777" w:rsidR="0095431B" w:rsidRDefault="0095431B">
      <w:r>
        <w:separator/>
      </w:r>
    </w:p>
  </w:endnote>
  <w:endnote w:type="continuationSeparator" w:id="0">
    <w:p w14:paraId="31053C94" w14:textId="77777777" w:rsidR="0095431B" w:rsidRDefault="0095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90A8" w14:textId="77777777" w:rsidR="00414F1A" w:rsidRDefault="00414F1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3CE7" w14:textId="77777777" w:rsidR="0095431B" w:rsidRDefault="0095431B">
      <w:r>
        <w:separator/>
      </w:r>
    </w:p>
  </w:footnote>
  <w:footnote w:type="continuationSeparator" w:id="0">
    <w:p w14:paraId="150A415C" w14:textId="77777777" w:rsidR="0095431B" w:rsidRDefault="0095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02BF" w14:textId="77777777" w:rsidR="00414F1A" w:rsidRDefault="00414F1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1A"/>
    <w:rsid w:val="00000A3E"/>
    <w:rsid w:val="000225B8"/>
    <w:rsid w:val="00040C4F"/>
    <w:rsid w:val="0004225D"/>
    <w:rsid w:val="0004341C"/>
    <w:rsid w:val="000435F9"/>
    <w:rsid w:val="0006087D"/>
    <w:rsid w:val="00076030"/>
    <w:rsid w:val="0008723D"/>
    <w:rsid w:val="000941D6"/>
    <w:rsid w:val="000E177B"/>
    <w:rsid w:val="000E254A"/>
    <w:rsid w:val="000E33AA"/>
    <w:rsid w:val="000E46C6"/>
    <w:rsid w:val="00120AD5"/>
    <w:rsid w:val="00131E6A"/>
    <w:rsid w:val="00132BB0"/>
    <w:rsid w:val="001870AE"/>
    <w:rsid w:val="001C17FB"/>
    <w:rsid w:val="001C7AEF"/>
    <w:rsid w:val="001C7C98"/>
    <w:rsid w:val="001D0E4A"/>
    <w:rsid w:val="001F20F0"/>
    <w:rsid w:val="001F3F41"/>
    <w:rsid w:val="00211D3F"/>
    <w:rsid w:val="0022659F"/>
    <w:rsid w:val="00233010"/>
    <w:rsid w:val="00234D05"/>
    <w:rsid w:val="00237C4F"/>
    <w:rsid w:val="00270768"/>
    <w:rsid w:val="00276F02"/>
    <w:rsid w:val="00280164"/>
    <w:rsid w:val="00290F34"/>
    <w:rsid w:val="002A064C"/>
    <w:rsid w:val="002A7337"/>
    <w:rsid w:val="002B0448"/>
    <w:rsid w:val="002C4F94"/>
    <w:rsid w:val="003223E1"/>
    <w:rsid w:val="00323169"/>
    <w:rsid w:val="003256B6"/>
    <w:rsid w:val="003300C4"/>
    <w:rsid w:val="003305C2"/>
    <w:rsid w:val="00330D00"/>
    <w:rsid w:val="003370A8"/>
    <w:rsid w:val="0035346D"/>
    <w:rsid w:val="00353E62"/>
    <w:rsid w:val="0038290F"/>
    <w:rsid w:val="0039152D"/>
    <w:rsid w:val="00391743"/>
    <w:rsid w:val="003959BE"/>
    <w:rsid w:val="003B1D78"/>
    <w:rsid w:val="003B1F1A"/>
    <w:rsid w:val="003D1B78"/>
    <w:rsid w:val="003E0090"/>
    <w:rsid w:val="004028D8"/>
    <w:rsid w:val="00414F1A"/>
    <w:rsid w:val="00442626"/>
    <w:rsid w:val="0044518E"/>
    <w:rsid w:val="00471D51"/>
    <w:rsid w:val="004854EE"/>
    <w:rsid w:val="004D1BFA"/>
    <w:rsid w:val="004D45BD"/>
    <w:rsid w:val="004E67F3"/>
    <w:rsid w:val="004F4427"/>
    <w:rsid w:val="00517FF8"/>
    <w:rsid w:val="005362DD"/>
    <w:rsid w:val="00541E1B"/>
    <w:rsid w:val="0054331F"/>
    <w:rsid w:val="00567D68"/>
    <w:rsid w:val="00594199"/>
    <w:rsid w:val="005A4950"/>
    <w:rsid w:val="005B3B56"/>
    <w:rsid w:val="005D497B"/>
    <w:rsid w:val="005F1B70"/>
    <w:rsid w:val="00647BB7"/>
    <w:rsid w:val="006562CF"/>
    <w:rsid w:val="0067069F"/>
    <w:rsid w:val="00683F47"/>
    <w:rsid w:val="006B2595"/>
    <w:rsid w:val="006E569F"/>
    <w:rsid w:val="006F2DCF"/>
    <w:rsid w:val="00711DDF"/>
    <w:rsid w:val="0071563A"/>
    <w:rsid w:val="0073630B"/>
    <w:rsid w:val="00736E04"/>
    <w:rsid w:val="007461CA"/>
    <w:rsid w:val="007726E0"/>
    <w:rsid w:val="00773CDA"/>
    <w:rsid w:val="007A0986"/>
    <w:rsid w:val="007A0CEC"/>
    <w:rsid w:val="007A3BAD"/>
    <w:rsid w:val="007B127B"/>
    <w:rsid w:val="007B2F81"/>
    <w:rsid w:val="007D309E"/>
    <w:rsid w:val="007E7D39"/>
    <w:rsid w:val="00814108"/>
    <w:rsid w:val="00843637"/>
    <w:rsid w:val="0084532A"/>
    <w:rsid w:val="00847E3C"/>
    <w:rsid w:val="00850453"/>
    <w:rsid w:val="00852DC7"/>
    <w:rsid w:val="00867973"/>
    <w:rsid w:val="00872623"/>
    <w:rsid w:val="008815FE"/>
    <w:rsid w:val="008E7877"/>
    <w:rsid w:val="008F68CE"/>
    <w:rsid w:val="00904A52"/>
    <w:rsid w:val="0095431B"/>
    <w:rsid w:val="009567A1"/>
    <w:rsid w:val="00965225"/>
    <w:rsid w:val="0097794A"/>
    <w:rsid w:val="009B5736"/>
    <w:rsid w:val="009E2547"/>
    <w:rsid w:val="009E5B40"/>
    <w:rsid w:val="00A33D76"/>
    <w:rsid w:val="00A417C4"/>
    <w:rsid w:val="00A47F31"/>
    <w:rsid w:val="00A66685"/>
    <w:rsid w:val="00A8237C"/>
    <w:rsid w:val="00A94934"/>
    <w:rsid w:val="00A963B2"/>
    <w:rsid w:val="00AB332E"/>
    <w:rsid w:val="00AB55B6"/>
    <w:rsid w:val="00B500D9"/>
    <w:rsid w:val="00B525D9"/>
    <w:rsid w:val="00B64E3A"/>
    <w:rsid w:val="00B7783D"/>
    <w:rsid w:val="00B8608A"/>
    <w:rsid w:val="00BD2EFC"/>
    <w:rsid w:val="00BD701A"/>
    <w:rsid w:val="00BE2694"/>
    <w:rsid w:val="00C02657"/>
    <w:rsid w:val="00C23471"/>
    <w:rsid w:val="00C8130C"/>
    <w:rsid w:val="00C86E7B"/>
    <w:rsid w:val="00C96741"/>
    <w:rsid w:val="00C96CF3"/>
    <w:rsid w:val="00CA6D09"/>
    <w:rsid w:val="00D06EF3"/>
    <w:rsid w:val="00D10BCF"/>
    <w:rsid w:val="00D42161"/>
    <w:rsid w:val="00D43F8B"/>
    <w:rsid w:val="00D4411A"/>
    <w:rsid w:val="00D45A1E"/>
    <w:rsid w:val="00D5084E"/>
    <w:rsid w:val="00D67BFB"/>
    <w:rsid w:val="00D9475B"/>
    <w:rsid w:val="00DA1785"/>
    <w:rsid w:val="00DB429E"/>
    <w:rsid w:val="00DC4B62"/>
    <w:rsid w:val="00DC6940"/>
    <w:rsid w:val="00E06230"/>
    <w:rsid w:val="00E347A7"/>
    <w:rsid w:val="00E4705E"/>
    <w:rsid w:val="00E507F4"/>
    <w:rsid w:val="00E67DB7"/>
    <w:rsid w:val="00E735B1"/>
    <w:rsid w:val="00E75AE8"/>
    <w:rsid w:val="00E76AD1"/>
    <w:rsid w:val="00E83C48"/>
    <w:rsid w:val="00E97F04"/>
    <w:rsid w:val="00EB3F63"/>
    <w:rsid w:val="00EC4A96"/>
    <w:rsid w:val="00EF020E"/>
    <w:rsid w:val="00F2544E"/>
    <w:rsid w:val="00F44510"/>
    <w:rsid w:val="00F57EB4"/>
    <w:rsid w:val="00FC700D"/>
    <w:rsid w:val="00FF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6A5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character" w:styleId="FollowedHyperlink">
    <w:name w:val="FollowedHyperlink"/>
    <w:basedOn w:val="DefaultParagraphFont"/>
    <w:uiPriority w:val="99"/>
    <w:semiHidden/>
    <w:unhideWhenUsed/>
    <w:rsid w:val="00E75AE8"/>
    <w:rPr>
      <w:color w:val="FF00FF" w:themeColor="followedHyperlink"/>
      <w:u w:val="single"/>
    </w:rPr>
  </w:style>
  <w:style w:type="character" w:styleId="UnresolvedMention">
    <w:name w:val="Unresolved Mention"/>
    <w:basedOn w:val="DefaultParagraphFont"/>
    <w:uiPriority w:val="99"/>
    <w:rsid w:val="007A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iberty-protection-safeguards-factshee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slation.gov.uk/ukpga/2019/18/pdfs/ukpga_20190018_en.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cal.gov.uk/publications/analysis-safeguarding-adult-reviews-april-2017-march-2019%20(2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s3-eu-west-2.amazonaws.com/npm-prod-storage-19n0nag2nk8xk/uploads/2021/02/6.6949_NPM_AnnualReport_2019_20_WEB.pdf" TargetMode="External"/><Relationship Id="rId4" Type="http://schemas.openxmlformats.org/officeDocument/2006/relationships/footnotes" Target="footnotes.xml"/><Relationship Id="rId9" Type="http://schemas.openxmlformats.org/officeDocument/2006/relationships/hyperlink" Target="https://1f2ca7mxjow42e65q49871m1-wpengine.netdna-ssl.com/wp-content/uploads/2020/07/Mental-Capacity-Guidance-Note-Best-Interests-July-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Griffiths</cp:lastModifiedBy>
  <cp:revision>63</cp:revision>
  <dcterms:created xsi:type="dcterms:W3CDTF">2021-11-19T16:25:00Z</dcterms:created>
  <dcterms:modified xsi:type="dcterms:W3CDTF">2021-11-22T09:24:00Z</dcterms:modified>
</cp:coreProperties>
</file>