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DFB6"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Ian</w:t>
      </w:r>
      <w:r>
        <w:rPr>
          <w:rFonts w:ascii="Helvetica" w:hAnsi="Helvetica" w:cs="Helvetica"/>
          <w:color w:val="4C4C4C"/>
          <w:sz w:val="21"/>
          <w:szCs w:val="21"/>
        </w:rPr>
        <w:t xml:space="preserve"> Brownhill is a barrister who</w:t>
      </w:r>
      <w:r>
        <w:rPr>
          <w:rFonts w:ascii="Helvetica" w:hAnsi="Helvetica" w:cs="Helvetica"/>
          <w:color w:val="4C4C4C"/>
          <w:sz w:val="21"/>
          <w:szCs w:val="21"/>
        </w:rPr>
        <w:t xml:space="preserve"> specialises in public law, human rights and regulatory law.</w:t>
      </w:r>
      <w:r>
        <w:rPr>
          <w:rFonts w:ascii="Helvetica" w:hAnsi="Helvetica" w:cs="Helvetica"/>
          <w:color w:val="4C4C4C"/>
          <w:sz w:val="21"/>
          <w:szCs w:val="21"/>
        </w:rPr>
        <w:t xml:space="preserve"> Ian practices from 39 Essex Chambers in their London office. </w:t>
      </w:r>
      <w:r>
        <w:rPr>
          <w:rFonts w:ascii="Helvetica" w:hAnsi="Helvetica" w:cs="Helvetica"/>
          <w:color w:val="4C4C4C"/>
          <w:sz w:val="21"/>
          <w:szCs w:val="21"/>
        </w:rPr>
        <w:t xml:space="preserve">Ian sits as HM Assistant Coroner for Kent, is a chair and member of the Football Association’s Safeguarding Review Panel and is </w:t>
      </w:r>
      <w:r w:rsidRPr="00BA6FB1">
        <w:rPr>
          <w:rFonts w:ascii="Helvetica" w:hAnsi="Helvetica" w:cs="Helvetica"/>
          <w:color w:val="4C4C4C"/>
          <w:sz w:val="21"/>
          <w:szCs w:val="21"/>
        </w:rPr>
        <w:t>Legally Qualified Chair and Hearing Body Panel Membe</w:t>
      </w:r>
      <w:r>
        <w:rPr>
          <w:rFonts w:ascii="Helvetica" w:hAnsi="Helvetica" w:cs="Helvetica"/>
          <w:color w:val="4C4C4C"/>
          <w:sz w:val="21"/>
          <w:szCs w:val="21"/>
        </w:rPr>
        <w:t xml:space="preserve">r for British Equestrian. </w:t>
      </w:r>
    </w:p>
    <w:p w14:paraId="0D12228A"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 xml:space="preserve">Ian has a broad public law and human rights practice which focusses on mental capacity, education law, criminal justice, prison and police law and community care. Ian has particular expertise in safeguarding adults.  </w:t>
      </w:r>
    </w:p>
    <w:p w14:paraId="0BC3C401"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Ian’s international practice is varied but primarily focusses on matters relating to mental capacity, criminal justice or wider human rights issues. He has been instructed by, or worked on cases with, lawyers from: Canada, the United States, Germany, Cyprus, Greece, the Netherlands, Spain, Thailand, Ireland and the Isle of Man. In addition, Ian is often instructed by charities, NGOs and companies with an international reach, especially in respect of safeguarding matters.</w:t>
      </w:r>
    </w:p>
    <w:p w14:paraId="704312DB"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 xml:space="preserve">Ian is ranked as a “band 1” leading junior for Court of Protection (Health and Welfare) by Chambers &amp; Partners and ranked for Court of Protection and Community Care by The Legal 500. </w:t>
      </w:r>
    </w:p>
    <w:p w14:paraId="58375A1D"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Ian is a member of the Equality and Human Rights Commission Panel of Counsel. Ian acts pro bono for the families of missing people, he acts for the mother of Ben Needham and the mother of Damien Nettles.</w:t>
      </w:r>
    </w:p>
    <w:p w14:paraId="437D5641" w14:textId="77777777" w:rsidR="002D4924" w:rsidRDefault="002D4924" w:rsidP="002D4924">
      <w:pPr>
        <w:pStyle w:val="NormalWeb"/>
        <w:spacing w:before="0" w:beforeAutospacing="0" w:after="210" w:afterAutospacing="0" w:line="330" w:lineRule="atLeast"/>
        <w:jc w:val="both"/>
        <w:rPr>
          <w:rFonts w:ascii="Helvetica" w:hAnsi="Helvetica" w:cs="Helvetica"/>
          <w:color w:val="4C4C4C"/>
          <w:sz w:val="21"/>
          <w:szCs w:val="21"/>
        </w:rPr>
      </w:pPr>
      <w:r>
        <w:rPr>
          <w:rFonts w:ascii="Helvetica" w:hAnsi="Helvetica" w:cs="Helvetica"/>
          <w:color w:val="4C4C4C"/>
          <w:sz w:val="21"/>
          <w:szCs w:val="21"/>
        </w:rPr>
        <w:t xml:space="preserve">Ian is a Trustee of the Sentencing Academy.  </w:t>
      </w:r>
    </w:p>
    <w:p w14:paraId="22BC1DF3" w14:textId="77777777" w:rsidR="00AA2945" w:rsidRDefault="00AA2945"/>
    <w:sectPr w:rsidR="00AA2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4"/>
    <w:rsid w:val="002D4924"/>
    <w:rsid w:val="005C0D7B"/>
    <w:rsid w:val="00AA2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AE90"/>
  <w15:chartTrackingRefBased/>
  <w15:docId w15:val="{FD99CE3D-295D-49CC-9E3D-7C3F7FDE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Brownhill</dc:creator>
  <cp:keywords/>
  <dc:description/>
  <cp:lastModifiedBy>Ian Brownhill</cp:lastModifiedBy>
  <cp:revision>1</cp:revision>
  <dcterms:created xsi:type="dcterms:W3CDTF">2022-01-23T16:58:00Z</dcterms:created>
  <dcterms:modified xsi:type="dcterms:W3CDTF">2022-01-23T17:06:00Z</dcterms:modified>
</cp:coreProperties>
</file>