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4DD61" w14:textId="672E970B" w:rsidR="008C5C51" w:rsidRDefault="00C1683F" w:rsidP="00124E21">
      <w:pPr>
        <w:pStyle w:val="NoSpacing"/>
        <w:rPr>
          <w:rStyle w:val="A6"/>
          <w:b/>
          <w:bCs/>
        </w:rPr>
      </w:pPr>
      <w:r>
        <w:rPr>
          <w:rStyle w:val="A6"/>
          <w:b/>
          <w:bCs/>
        </w:rPr>
        <w:t>COVID-19: Recommendations for Elective Surgery</w:t>
      </w:r>
    </w:p>
    <w:p w14:paraId="5AE7BC32" w14:textId="2B63DB31" w:rsidR="008C5C51" w:rsidRPr="008C5C51" w:rsidRDefault="008C5C51" w:rsidP="00124E21">
      <w:pPr>
        <w:pStyle w:val="NoSpacing"/>
        <w:rPr>
          <w:lang w:val="en-GB"/>
        </w:rPr>
      </w:pPr>
      <w:r>
        <w:rPr>
          <w:rStyle w:val="A6"/>
        </w:rPr>
        <w:t>Dr. Justin Kua</w:t>
      </w:r>
    </w:p>
    <w:p w14:paraId="39896DFD" w14:textId="77777777" w:rsidR="008C5C51" w:rsidRDefault="008C5C51" w:rsidP="00124E21">
      <w:pPr>
        <w:pStyle w:val="NoSpacing"/>
        <w:rPr>
          <w:b/>
          <w:bCs/>
          <w:lang w:val="en-GB"/>
        </w:rPr>
      </w:pPr>
    </w:p>
    <w:p w14:paraId="642BD3E6" w14:textId="3C2D8664" w:rsidR="00124E21" w:rsidRDefault="00124E21" w:rsidP="00124E21">
      <w:pPr>
        <w:pStyle w:val="NoSpacing"/>
        <w:rPr>
          <w:lang w:val="en-GB"/>
        </w:rPr>
      </w:pPr>
      <w:r w:rsidRPr="00124E21">
        <w:rPr>
          <w:b/>
          <w:bCs/>
          <w:lang w:val="en-GB"/>
        </w:rPr>
        <w:t>Abstract</w:t>
      </w:r>
      <w:r>
        <w:rPr>
          <w:lang w:val="en-GB"/>
        </w:rPr>
        <w:t>:</w:t>
      </w:r>
    </w:p>
    <w:p w14:paraId="55EEEEE1" w14:textId="16EC2058" w:rsidR="00A56400" w:rsidRDefault="000719C3" w:rsidP="00124E21">
      <w:pPr>
        <w:pStyle w:val="NoSpacing"/>
        <w:rPr>
          <w:lang w:val="en-GB"/>
        </w:rPr>
      </w:pPr>
      <w:r>
        <w:rPr>
          <w:lang w:val="en-GB"/>
        </w:rPr>
        <w:t>Over the</w:t>
      </w:r>
      <w:r w:rsidR="00E77987">
        <w:rPr>
          <w:lang w:val="en-GB"/>
        </w:rPr>
        <w:t xml:space="preserve"> last</w:t>
      </w:r>
      <w:r>
        <w:rPr>
          <w:lang w:val="en-GB"/>
        </w:rPr>
        <w:t xml:space="preserve"> </w:t>
      </w:r>
      <w:r w:rsidR="009D11B2">
        <w:rPr>
          <w:lang w:val="en-GB"/>
        </w:rPr>
        <w:t>two</w:t>
      </w:r>
      <w:r>
        <w:rPr>
          <w:lang w:val="en-GB"/>
        </w:rPr>
        <w:t xml:space="preserve"> year</w:t>
      </w:r>
      <w:r w:rsidR="00E77987">
        <w:rPr>
          <w:lang w:val="en-GB"/>
        </w:rPr>
        <w:t>s</w:t>
      </w:r>
      <w:r>
        <w:rPr>
          <w:lang w:val="en-GB"/>
        </w:rPr>
        <w:t>, t</w:t>
      </w:r>
      <w:r w:rsidR="00537F1A">
        <w:rPr>
          <w:lang w:val="en-GB"/>
        </w:rPr>
        <w:t xml:space="preserve">he </w:t>
      </w:r>
      <w:r>
        <w:rPr>
          <w:lang w:val="en-GB"/>
        </w:rPr>
        <w:t>coronavirus 2019 (</w:t>
      </w:r>
      <w:r w:rsidR="00537F1A">
        <w:rPr>
          <w:lang w:val="en-GB"/>
        </w:rPr>
        <w:t>COVID-19</w:t>
      </w:r>
      <w:r>
        <w:rPr>
          <w:lang w:val="en-GB"/>
        </w:rPr>
        <w:t>)</w:t>
      </w:r>
      <w:r w:rsidR="00537F1A">
        <w:rPr>
          <w:lang w:val="en-GB"/>
        </w:rPr>
        <w:t xml:space="preserve"> pandemic has been </w:t>
      </w:r>
      <w:r>
        <w:rPr>
          <w:lang w:val="en-GB"/>
        </w:rPr>
        <w:t>the primary focus for</w:t>
      </w:r>
      <w:r w:rsidR="00537F1A">
        <w:rPr>
          <w:lang w:val="en-GB"/>
        </w:rPr>
        <w:t xml:space="preserve"> </w:t>
      </w:r>
      <w:r>
        <w:rPr>
          <w:lang w:val="en-GB"/>
        </w:rPr>
        <w:t xml:space="preserve">healthcare services worldwide. </w:t>
      </w:r>
      <w:r w:rsidR="00E77987">
        <w:rPr>
          <w:lang w:val="en-GB"/>
        </w:rPr>
        <w:t xml:space="preserve">Globally, </w:t>
      </w:r>
      <w:r w:rsidR="00A56400">
        <w:rPr>
          <w:lang w:val="en-GB"/>
        </w:rPr>
        <w:t>COVID-19</w:t>
      </w:r>
      <w:r w:rsidR="00E77987">
        <w:rPr>
          <w:lang w:val="en-GB"/>
        </w:rPr>
        <w:t xml:space="preserve"> has affected millions</w:t>
      </w:r>
      <w:r>
        <w:rPr>
          <w:lang w:val="en-GB"/>
        </w:rPr>
        <w:t xml:space="preserve"> of people </w:t>
      </w:r>
      <w:r w:rsidR="00E77987">
        <w:rPr>
          <w:lang w:val="en-GB"/>
        </w:rPr>
        <w:t>and</w:t>
      </w:r>
      <w:r>
        <w:rPr>
          <w:lang w:val="en-GB"/>
        </w:rPr>
        <w:t xml:space="preserve"> over </w:t>
      </w:r>
      <w:r w:rsidR="009D11B2">
        <w:rPr>
          <w:lang w:val="en-GB"/>
        </w:rPr>
        <w:t>six</w:t>
      </w:r>
      <w:r>
        <w:rPr>
          <w:lang w:val="en-GB"/>
        </w:rPr>
        <w:t xml:space="preserve"> million </w:t>
      </w:r>
      <w:r w:rsidR="00E77987">
        <w:rPr>
          <w:lang w:val="en-GB"/>
        </w:rPr>
        <w:t xml:space="preserve">COVID-19-related </w:t>
      </w:r>
      <w:r>
        <w:rPr>
          <w:lang w:val="en-GB"/>
        </w:rPr>
        <w:t xml:space="preserve">deaths </w:t>
      </w:r>
      <w:r w:rsidR="00E77987">
        <w:rPr>
          <w:lang w:val="en-GB"/>
        </w:rPr>
        <w:t xml:space="preserve">have been </w:t>
      </w:r>
      <w:r>
        <w:rPr>
          <w:lang w:val="en-GB"/>
        </w:rPr>
        <w:t>reported to the World Health Organization.</w:t>
      </w:r>
      <w:r w:rsidR="00540EF0">
        <w:rPr>
          <w:lang w:val="en-GB"/>
        </w:rPr>
        <w:t xml:space="preserve"> It is increasingly likely that COVID-19 will become endemic; there has been a shift in focus from eradication of the disease to ensuring that sufficient proportions of the</w:t>
      </w:r>
      <w:r w:rsidR="003A2AA6">
        <w:rPr>
          <w:lang w:val="en-GB"/>
        </w:rPr>
        <w:t xml:space="preserve"> world’s</w:t>
      </w:r>
      <w:r w:rsidR="00540EF0">
        <w:rPr>
          <w:lang w:val="en-GB"/>
        </w:rPr>
        <w:t xml:space="preserve"> population are vaccinated to </w:t>
      </w:r>
      <w:r w:rsidR="00487E16">
        <w:rPr>
          <w:lang w:val="en-GB"/>
        </w:rPr>
        <w:t xml:space="preserve">reduce transmission and </w:t>
      </w:r>
      <w:r w:rsidR="00540EF0">
        <w:rPr>
          <w:lang w:val="en-GB"/>
        </w:rPr>
        <w:t>protect against severe manifestations of COVID-19.</w:t>
      </w:r>
      <w:r w:rsidR="00D7701C">
        <w:rPr>
          <w:lang w:val="en-GB"/>
        </w:rPr>
        <w:t xml:space="preserve"> </w:t>
      </w:r>
    </w:p>
    <w:p w14:paraId="77B922D8" w14:textId="77777777" w:rsidR="001C588C" w:rsidRDefault="001C588C" w:rsidP="001C588C">
      <w:pPr>
        <w:pStyle w:val="NoSpacing"/>
        <w:rPr>
          <w:lang w:val="en-GB"/>
        </w:rPr>
      </w:pPr>
    </w:p>
    <w:p w14:paraId="147AB9CC" w14:textId="1D9DDD14" w:rsidR="001C588C" w:rsidRDefault="001C588C" w:rsidP="001C588C">
      <w:pPr>
        <w:pStyle w:val="NoSpacing"/>
        <w:rPr>
          <w:lang w:val="en-GB"/>
        </w:rPr>
      </w:pPr>
      <w:r>
        <w:rPr>
          <w:lang w:val="en-GB"/>
        </w:rPr>
        <w:t xml:space="preserve">In the United Kingdom, </w:t>
      </w:r>
      <w:r w:rsidR="009D11B2">
        <w:rPr>
          <w:lang w:val="en-GB"/>
        </w:rPr>
        <w:t xml:space="preserve">during </w:t>
      </w:r>
      <w:r w:rsidR="00700F0A">
        <w:rPr>
          <w:lang w:val="en-GB"/>
        </w:rPr>
        <w:t xml:space="preserve">past </w:t>
      </w:r>
      <w:r w:rsidR="009D11B2">
        <w:rPr>
          <w:lang w:val="en-GB"/>
        </w:rPr>
        <w:t xml:space="preserve">surges of COVID-19, </w:t>
      </w:r>
      <w:r>
        <w:rPr>
          <w:lang w:val="en-GB"/>
        </w:rPr>
        <w:t>the need to divert resources to care for COVID-19 patients and prioritisation of emergency surgical cases over elective procedures</w:t>
      </w:r>
      <w:r w:rsidR="009D11B2">
        <w:rPr>
          <w:lang w:val="en-GB"/>
        </w:rPr>
        <w:t xml:space="preserve"> has resulted in</w:t>
      </w:r>
      <w:r>
        <w:rPr>
          <w:lang w:val="en-GB"/>
        </w:rPr>
        <w:t xml:space="preserve"> a significant backlog of </w:t>
      </w:r>
      <w:r w:rsidR="00700F0A">
        <w:rPr>
          <w:lang w:val="en-GB"/>
        </w:rPr>
        <w:t xml:space="preserve">elective </w:t>
      </w:r>
      <w:r>
        <w:rPr>
          <w:lang w:val="en-GB"/>
        </w:rPr>
        <w:t>surg</w:t>
      </w:r>
      <w:r w:rsidR="00B1167A">
        <w:rPr>
          <w:lang w:val="en-GB"/>
        </w:rPr>
        <w:t>ical cases</w:t>
      </w:r>
      <w:r>
        <w:rPr>
          <w:lang w:val="en-GB"/>
        </w:rPr>
        <w:t>. There is a</w:t>
      </w:r>
      <w:r w:rsidR="00260CFF">
        <w:rPr>
          <w:lang w:val="en-GB"/>
        </w:rPr>
        <w:t>n ongoing</w:t>
      </w:r>
      <w:r>
        <w:rPr>
          <w:lang w:val="en-GB"/>
        </w:rPr>
        <w:t xml:space="preserve"> need to tackle this </w:t>
      </w:r>
      <w:r w:rsidR="00260CFF">
        <w:rPr>
          <w:lang w:val="en-GB"/>
        </w:rPr>
        <w:t xml:space="preserve">growing </w:t>
      </w:r>
      <w:r>
        <w:rPr>
          <w:lang w:val="en-GB"/>
        </w:rPr>
        <w:t xml:space="preserve">surgical backlog which includes interventions </w:t>
      </w:r>
      <w:r w:rsidR="00964DB0">
        <w:rPr>
          <w:lang w:val="en-GB"/>
        </w:rPr>
        <w:t>to treat</w:t>
      </w:r>
      <w:r>
        <w:rPr>
          <w:lang w:val="en-GB"/>
        </w:rPr>
        <w:t xml:space="preserve"> </w:t>
      </w:r>
      <w:r w:rsidR="00247338">
        <w:rPr>
          <w:lang w:val="en-GB"/>
        </w:rPr>
        <w:t>a variety</w:t>
      </w:r>
      <w:r w:rsidR="00964DB0">
        <w:rPr>
          <w:lang w:val="en-GB"/>
        </w:rPr>
        <w:t xml:space="preserve"> of</w:t>
      </w:r>
      <w:r w:rsidR="00247338">
        <w:rPr>
          <w:lang w:val="en-GB"/>
        </w:rPr>
        <w:t xml:space="preserve"> </w:t>
      </w:r>
      <w:r w:rsidR="00964DB0">
        <w:rPr>
          <w:lang w:val="en-GB"/>
        </w:rPr>
        <w:t>disabling orthopaedic conditions, such as those necessitating reconstructive or joint replacement surgery.</w:t>
      </w:r>
    </w:p>
    <w:p w14:paraId="58BC7E14" w14:textId="77777777" w:rsidR="00A56400" w:rsidRDefault="00A56400" w:rsidP="00124E21">
      <w:pPr>
        <w:pStyle w:val="NoSpacing"/>
        <w:rPr>
          <w:lang w:val="en-GB"/>
        </w:rPr>
      </w:pPr>
    </w:p>
    <w:p w14:paraId="491D29F0" w14:textId="02CC9586" w:rsidR="00487E16" w:rsidRDefault="00487E16" w:rsidP="00124E21">
      <w:pPr>
        <w:pStyle w:val="NoSpacing"/>
        <w:rPr>
          <w:lang w:val="en-GB"/>
        </w:rPr>
      </w:pPr>
      <w:r>
        <w:rPr>
          <w:lang w:val="en-GB"/>
        </w:rPr>
        <w:t>Acute infection with s</w:t>
      </w:r>
      <w:r w:rsidRPr="00A56400">
        <w:rPr>
          <w:lang w:val="en-GB"/>
        </w:rPr>
        <w:t>evere acute respiratory syndrome coronavirus 2</w:t>
      </w:r>
      <w:r>
        <w:rPr>
          <w:lang w:val="en-GB"/>
        </w:rPr>
        <w:t xml:space="preserve"> (SARS-CoV-2; the virus causing COVID-19) during the perioperative period has been shown to increase</w:t>
      </w:r>
      <w:r w:rsidR="009C67EF">
        <w:rPr>
          <w:lang w:val="en-GB"/>
        </w:rPr>
        <w:t xml:space="preserve"> the risk</w:t>
      </w:r>
      <w:r w:rsidR="0000430C">
        <w:rPr>
          <w:lang w:val="en-GB"/>
        </w:rPr>
        <w:t>s</w:t>
      </w:r>
      <w:r w:rsidR="009C67EF">
        <w:rPr>
          <w:lang w:val="en-GB"/>
        </w:rPr>
        <w:t xml:space="preserve"> of</w:t>
      </w:r>
      <w:r>
        <w:rPr>
          <w:lang w:val="en-GB"/>
        </w:rPr>
        <w:t xml:space="preserve"> </w:t>
      </w:r>
      <w:r w:rsidR="009C67EF">
        <w:rPr>
          <w:lang w:val="en-GB"/>
        </w:rPr>
        <w:t xml:space="preserve">post-operative </w:t>
      </w:r>
      <w:r>
        <w:rPr>
          <w:lang w:val="en-GB"/>
        </w:rPr>
        <w:t>mortality and pulmonary complications.</w:t>
      </w:r>
      <w:r w:rsidR="009C67EF">
        <w:rPr>
          <w:lang w:val="en-GB"/>
        </w:rPr>
        <w:t xml:space="preserve"> </w:t>
      </w:r>
      <w:r w:rsidR="00FF5284">
        <w:rPr>
          <w:lang w:val="en-GB"/>
        </w:rPr>
        <w:t>Results</w:t>
      </w:r>
      <w:r w:rsidR="009C67EF">
        <w:rPr>
          <w:lang w:val="en-GB"/>
        </w:rPr>
        <w:t xml:space="preserve"> from </w:t>
      </w:r>
      <w:r w:rsidR="00051214">
        <w:rPr>
          <w:lang w:val="en-GB"/>
        </w:rPr>
        <w:t>the GlobalSurg-CovidSurg Week</w:t>
      </w:r>
      <w:r w:rsidR="00552C68">
        <w:rPr>
          <w:lang w:val="en-GB"/>
        </w:rPr>
        <w:t xml:space="preserve"> multicentre</w:t>
      </w:r>
      <w:r w:rsidR="00051214">
        <w:rPr>
          <w:lang w:val="en-GB"/>
        </w:rPr>
        <w:t xml:space="preserve"> study revealed </w:t>
      </w:r>
      <w:r w:rsidR="00552C68">
        <w:rPr>
          <w:lang w:val="en-GB"/>
        </w:rPr>
        <w:t xml:space="preserve">that, over time, </w:t>
      </w:r>
      <w:r w:rsidR="008B2F36">
        <w:rPr>
          <w:lang w:val="en-GB"/>
        </w:rPr>
        <w:t>these post-operative risks</w:t>
      </w:r>
      <w:r w:rsidR="00552C68">
        <w:rPr>
          <w:lang w:val="en-GB"/>
        </w:rPr>
        <w:t xml:space="preserve"> decrease but remain significantly elevated until </w:t>
      </w:r>
      <w:r w:rsidR="001C588C">
        <w:rPr>
          <w:lang w:val="en-GB"/>
        </w:rPr>
        <w:t>seven</w:t>
      </w:r>
      <w:r w:rsidR="00552C68">
        <w:rPr>
          <w:lang w:val="en-GB"/>
        </w:rPr>
        <w:t xml:space="preserve"> weeks and beyond </w:t>
      </w:r>
      <w:r w:rsidR="00F62505">
        <w:rPr>
          <w:lang w:val="en-GB"/>
        </w:rPr>
        <w:t>f</w:t>
      </w:r>
      <w:r w:rsidR="00067F9C">
        <w:rPr>
          <w:lang w:val="en-GB"/>
        </w:rPr>
        <w:t>ollowing</w:t>
      </w:r>
      <w:r w:rsidR="00F62505">
        <w:rPr>
          <w:lang w:val="en-GB"/>
        </w:rPr>
        <w:t xml:space="preserve"> </w:t>
      </w:r>
      <w:r w:rsidR="0000430C">
        <w:rPr>
          <w:lang w:val="en-GB"/>
        </w:rPr>
        <w:t>a diagnosis of COVID-19</w:t>
      </w:r>
      <w:r w:rsidR="00552C68">
        <w:rPr>
          <w:lang w:val="en-GB"/>
        </w:rPr>
        <w:t xml:space="preserve">. </w:t>
      </w:r>
      <w:r w:rsidR="009C67EF">
        <w:rPr>
          <w:lang w:val="en-GB"/>
        </w:rPr>
        <w:t xml:space="preserve">Consequently, guidelines on the timing of surgery have recommended that patients </w:t>
      </w:r>
      <w:r w:rsidR="005E7A7C">
        <w:rPr>
          <w:lang w:val="en-GB"/>
        </w:rPr>
        <w:t xml:space="preserve">testing positive for SARS-CoV-2 </w:t>
      </w:r>
      <w:r w:rsidR="009C67EF">
        <w:rPr>
          <w:lang w:val="en-GB"/>
        </w:rPr>
        <w:t xml:space="preserve">should have </w:t>
      </w:r>
      <w:r w:rsidR="005E7A7C">
        <w:rPr>
          <w:lang w:val="en-GB"/>
        </w:rPr>
        <w:t xml:space="preserve">elective </w:t>
      </w:r>
      <w:r w:rsidR="009C67EF">
        <w:rPr>
          <w:lang w:val="en-GB"/>
        </w:rPr>
        <w:t xml:space="preserve">surgery delayed until beyond </w:t>
      </w:r>
      <w:r w:rsidR="001C588C">
        <w:rPr>
          <w:lang w:val="en-GB"/>
        </w:rPr>
        <w:t>seven</w:t>
      </w:r>
      <w:r w:rsidR="009C67EF">
        <w:rPr>
          <w:lang w:val="en-GB"/>
        </w:rPr>
        <w:t xml:space="preserve"> weeks</w:t>
      </w:r>
      <w:r w:rsidR="006F7970">
        <w:rPr>
          <w:lang w:val="en-GB"/>
        </w:rPr>
        <w:t>,</w:t>
      </w:r>
      <w:r w:rsidR="009C67EF">
        <w:rPr>
          <w:lang w:val="en-GB"/>
        </w:rPr>
        <w:t xml:space="preserve"> where clinically feasible. </w:t>
      </w:r>
      <w:r w:rsidR="00E358BE">
        <w:rPr>
          <w:lang w:val="en-GB"/>
        </w:rPr>
        <w:t>In the wake of newer variants of concern, such as omicron, that may cause milder clinical illness (including in the context of vaccination), there is a need to update existing guidance on elective surgery in relation to</w:t>
      </w:r>
      <w:r w:rsidR="00134367">
        <w:rPr>
          <w:lang w:val="en-GB"/>
        </w:rPr>
        <w:t xml:space="preserve"> COVID-19 status.</w:t>
      </w:r>
    </w:p>
    <w:p w14:paraId="59681890" w14:textId="77777777" w:rsidR="00BA0190" w:rsidRDefault="00BA0190" w:rsidP="00124E21">
      <w:pPr>
        <w:pStyle w:val="NoSpacing"/>
        <w:rPr>
          <w:lang w:val="en-GB"/>
        </w:rPr>
      </w:pPr>
    </w:p>
    <w:p w14:paraId="6CAA9A1B" w14:textId="1418A46E" w:rsidR="00487E16" w:rsidRDefault="00134367" w:rsidP="00124E21">
      <w:pPr>
        <w:pStyle w:val="NoSpacing"/>
        <w:rPr>
          <w:lang w:val="en-GB"/>
        </w:rPr>
      </w:pPr>
      <w:r>
        <w:rPr>
          <w:lang w:val="en-GB"/>
        </w:rPr>
        <w:t>M</w:t>
      </w:r>
      <w:r w:rsidR="00FF5284">
        <w:rPr>
          <w:lang w:val="en-GB"/>
        </w:rPr>
        <w:t xml:space="preserve">uch like </w:t>
      </w:r>
      <w:r w:rsidR="00BA0190">
        <w:rPr>
          <w:lang w:val="en-GB"/>
        </w:rPr>
        <w:t xml:space="preserve">other elective surgeries, multidisciplinary teams </w:t>
      </w:r>
      <w:r w:rsidR="00D23AC9">
        <w:rPr>
          <w:lang w:val="en-GB"/>
        </w:rPr>
        <w:t xml:space="preserve">engaged in </w:t>
      </w:r>
      <w:r w:rsidR="00247338">
        <w:rPr>
          <w:lang w:val="en-GB"/>
        </w:rPr>
        <w:t>day case major knee</w:t>
      </w:r>
      <w:r w:rsidR="00D23AC9">
        <w:rPr>
          <w:lang w:val="en-GB"/>
        </w:rPr>
        <w:t xml:space="preserve"> surgery will broadly encounter </w:t>
      </w:r>
      <w:r w:rsidR="00BA0190">
        <w:rPr>
          <w:lang w:val="en-GB"/>
        </w:rPr>
        <w:t>three ‘types’ of patients: (1) those who have never had COVID-19; (2) those who have acute COVID-19 infection;</w:t>
      </w:r>
      <w:r w:rsidR="00B30E78">
        <w:rPr>
          <w:lang w:val="en-GB"/>
        </w:rPr>
        <w:t xml:space="preserve"> </w:t>
      </w:r>
      <w:r w:rsidR="00BA0190">
        <w:rPr>
          <w:lang w:val="en-GB"/>
        </w:rPr>
        <w:t xml:space="preserve">(3) those who have previously had COVID-19. </w:t>
      </w:r>
      <w:r w:rsidR="00A96506">
        <w:rPr>
          <w:lang w:val="en-GB"/>
        </w:rPr>
        <w:t>Even with</w:t>
      </w:r>
      <w:r w:rsidR="000A01E9">
        <w:rPr>
          <w:lang w:val="en-GB"/>
        </w:rPr>
        <w:t xml:space="preserve"> </w:t>
      </w:r>
      <w:r w:rsidR="00A96506">
        <w:rPr>
          <w:lang w:val="en-GB"/>
        </w:rPr>
        <w:t xml:space="preserve">COVID-19 </w:t>
      </w:r>
      <w:r w:rsidR="000A01E9">
        <w:rPr>
          <w:lang w:val="en-GB"/>
        </w:rPr>
        <w:t xml:space="preserve">vaccination uptake and the omicron SARS-CoV-2 variant, there remains a lack of </w:t>
      </w:r>
      <w:r w:rsidR="00A96506">
        <w:rPr>
          <w:lang w:val="en-GB"/>
        </w:rPr>
        <w:t xml:space="preserve">newer </w:t>
      </w:r>
      <w:r w:rsidR="000A01E9">
        <w:rPr>
          <w:lang w:val="en-GB"/>
        </w:rPr>
        <w:t xml:space="preserve">evidence on </w:t>
      </w:r>
      <w:r w:rsidR="00BC31CA">
        <w:rPr>
          <w:lang w:val="en-GB"/>
        </w:rPr>
        <w:t xml:space="preserve">changes in </w:t>
      </w:r>
      <w:r w:rsidR="000A01E9">
        <w:rPr>
          <w:lang w:val="en-GB"/>
        </w:rPr>
        <w:t xml:space="preserve">perioperative outcomes and thus, avoiding elective surgery for 7 weeks following acute COVID-19 is still recommended where clinically feasible. </w:t>
      </w:r>
      <w:r w:rsidR="00EA3F8F">
        <w:rPr>
          <w:lang w:val="en-GB"/>
        </w:rPr>
        <w:t>There is, however, a shift in focus to consider</w:t>
      </w:r>
      <w:r w:rsidR="00EA3F8F">
        <w:rPr>
          <w:lang w:val="en-GB"/>
        </w:rPr>
        <w:t xml:space="preserve"> not only the</w:t>
      </w:r>
      <w:r w:rsidR="00EA3F8F">
        <w:rPr>
          <w:lang w:val="en-GB"/>
        </w:rPr>
        <w:t xml:space="preserve"> timing from </w:t>
      </w:r>
      <w:r w:rsidR="00EA3F8F">
        <w:rPr>
          <w:lang w:val="en-GB"/>
        </w:rPr>
        <w:t xml:space="preserve">SARS-CoV-2 </w:t>
      </w:r>
      <w:r w:rsidR="00EA3F8F">
        <w:rPr>
          <w:lang w:val="en-GB"/>
        </w:rPr>
        <w:t xml:space="preserve">infection, but also assessment of baseline and additional COVID-19-related risks, and shared decision making. </w:t>
      </w:r>
      <w:r w:rsidR="0034257B">
        <w:rPr>
          <w:lang w:val="en-GB"/>
        </w:rPr>
        <w:t>Surgical patients should otherwise be encouraged to uptake COVID-19 vaccination (three doses where possible) and to optimise pre-operative status by focusing on modifiable risk factors (</w:t>
      </w:r>
      <w:proofErr w:type="gramStart"/>
      <w:r w:rsidR="0034257B">
        <w:rPr>
          <w:lang w:val="en-GB"/>
        </w:rPr>
        <w:t>e.g.</w:t>
      </w:r>
      <w:proofErr w:type="gramEnd"/>
      <w:r w:rsidR="0034257B">
        <w:rPr>
          <w:lang w:val="en-GB"/>
        </w:rPr>
        <w:t xml:space="preserve"> exercise regimes, optimisation of nutrition, smoking cessation). </w:t>
      </w:r>
    </w:p>
    <w:p w14:paraId="7C3B0619" w14:textId="77777777" w:rsidR="00C50F31" w:rsidRDefault="00C50F31" w:rsidP="00124E21">
      <w:pPr>
        <w:pStyle w:val="NoSpacing"/>
        <w:rPr>
          <w:lang w:val="en-GB"/>
        </w:rPr>
      </w:pPr>
    </w:p>
    <w:p w14:paraId="1488E05A" w14:textId="77777777" w:rsidR="00446402" w:rsidRDefault="00446402">
      <w:pPr>
        <w:rPr>
          <w:b/>
          <w:bCs/>
          <w:lang w:val="en-GB"/>
        </w:rPr>
      </w:pPr>
      <w:r>
        <w:rPr>
          <w:b/>
          <w:bCs/>
          <w:lang w:val="en-GB"/>
        </w:rPr>
        <w:br w:type="page"/>
      </w:r>
    </w:p>
    <w:p w14:paraId="7698B690" w14:textId="57D153CE" w:rsidR="00780F27" w:rsidRDefault="00780F27" w:rsidP="00124E21">
      <w:pPr>
        <w:pStyle w:val="NoSpacing"/>
        <w:rPr>
          <w:lang w:val="en-GB"/>
        </w:rPr>
      </w:pPr>
      <w:r w:rsidRPr="00780F27">
        <w:rPr>
          <w:b/>
          <w:bCs/>
          <w:lang w:val="en-GB"/>
        </w:rPr>
        <w:lastRenderedPageBreak/>
        <w:t>Useful Resources</w:t>
      </w:r>
      <w:r>
        <w:rPr>
          <w:lang w:val="en-GB"/>
        </w:rPr>
        <w:t>:</w:t>
      </w:r>
    </w:p>
    <w:p w14:paraId="03BDF56F" w14:textId="01C33514" w:rsidR="00537F1A" w:rsidRPr="00537F1A" w:rsidRDefault="00537F1A" w:rsidP="00780F27">
      <w:pPr>
        <w:pStyle w:val="NoSpacing"/>
        <w:numPr>
          <w:ilvl w:val="0"/>
          <w:numId w:val="1"/>
        </w:numPr>
        <w:rPr>
          <w:lang w:val="en-GB"/>
        </w:rPr>
      </w:pPr>
      <w:r w:rsidRPr="00537F1A">
        <w:rPr>
          <w:lang w:val="en-GB"/>
        </w:rPr>
        <w:t>COVIDSurg Collaborative</w:t>
      </w:r>
      <w:r>
        <w:rPr>
          <w:lang w:val="en-GB"/>
        </w:rPr>
        <w:t>,</w:t>
      </w:r>
      <w:r w:rsidRPr="00537F1A">
        <w:rPr>
          <w:lang w:val="en-GB"/>
        </w:rPr>
        <w:t xml:space="preserve"> GlobalSurg Collaborative</w:t>
      </w:r>
      <w:r>
        <w:rPr>
          <w:lang w:val="en-GB"/>
        </w:rPr>
        <w:t xml:space="preserve">. </w:t>
      </w:r>
      <w:r w:rsidRPr="00537F1A">
        <w:rPr>
          <w:lang w:val="en-GB"/>
        </w:rPr>
        <w:t>Timing of surgery following SARS-CoV-2 infection: an international prospective cohort study</w:t>
      </w:r>
      <w:r>
        <w:rPr>
          <w:lang w:val="en-GB"/>
        </w:rPr>
        <w:t xml:space="preserve">. </w:t>
      </w:r>
      <w:r w:rsidRPr="00537F1A">
        <w:rPr>
          <w:i/>
          <w:iCs/>
          <w:lang w:val="en-GB"/>
        </w:rPr>
        <w:t>Anaesthesia</w:t>
      </w:r>
      <w:r w:rsidRPr="00537F1A">
        <w:rPr>
          <w:lang w:val="en-GB"/>
        </w:rPr>
        <w:t>. 2021 Jun;76(6):748-758.</w:t>
      </w:r>
    </w:p>
    <w:p w14:paraId="5A21CB15" w14:textId="18A2A716" w:rsidR="00780F27" w:rsidRPr="00C62B94" w:rsidRDefault="00780F27" w:rsidP="00780F27">
      <w:pPr>
        <w:pStyle w:val="NoSpacing"/>
        <w:numPr>
          <w:ilvl w:val="0"/>
          <w:numId w:val="1"/>
        </w:numPr>
        <w:rPr>
          <w:lang w:val="en-GB"/>
        </w:rPr>
      </w:pPr>
      <w:r w:rsidRPr="00224F30">
        <w:t xml:space="preserve">K El-Boghdadly, T M Cook, T Goodacre, </w:t>
      </w:r>
      <w:r w:rsidRPr="00537F1A">
        <w:t>J Kua</w:t>
      </w:r>
      <w:r w:rsidRPr="00224F30">
        <w:t>, L Blake, S Denmark, S McNally, N Mercer, S R Moonesinghe, D J Summerton</w:t>
      </w:r>
      <w:r>
        <w:t xml:space="preserve">. </w:t>
      </w:r>
      <w:r w:rsidRPr="00224F30">
        <w:t>SARS-CoV-2 infection, COVID-</w:t>
      </w:r>
      <w:proofErr w:type="gramStart"/>
      <w:r w:rsidRPr="00224F30">
        <w:t>19</w:t>
      </w:r>
      <w:proofErr w:type="gramEnd"/>
      <w:r w:rsidRPr="00224F30">
        <w:t xml:space="preserve"> and timing of elective surgery: A multidisciplinary consensus statement on behalf of the Association of Anaesthetists, the Centre for Peri-operative Care, the Federation of Surgical Specialty Associations, the Royal College of Anaesthetists and the Royal College of Surgeons of England</w:t>
      </w:r>
      <w:r>
        <w:t xml:space="preserve">. </w:t>
      </w:r>
      <w:r w:rsidRPr="00224F30">
        <w:rPr>
          <w:i/>
          <w:iCs/>
        </w:rPr>
        <w:t>Anaesthesia</w:t>
      </w:r>
      <w:r w:rsidRPr="00224F30">
        <w:t>. 2021 Mar 18. doi: 10.1111/anae.15464.</w:t>
      </w:r>
    </w:p>
    <w:p w14:paraId="6F43FF36" w14:textId="77777777" w:rsidR="00C62B94" w:rsidRPr="00C62B94" w:rsidRDefault="00C62B94" w:rsidP="00C62B94">
      <w:pPr>
        <w:pStyle w:val="NoSpacing"/>
        <w:numPr>
          <w:ilvl w:val="0"/>
          <w:numId w:val="1"/>
        </w:numPr>
      </w:pPr>
      <w:r w:rsidRPr="00C62B94">
        <w:t xml:space="preserve">K El-Boghdadly, T M Cook, T Goodacre, J Kua, S Denmark, S McNally, N Mercer, S R Moonesinghe, D J Summerton. Timing of elective surgery and risk assessment after SARS-CoV-2 infection: an update: A multidisciplinary consensus statement on behalf of the Association of Anaesthetists, Centre for Perioperative Care, Federation of Surgical Specialty Associations, Royal College of Anaesthetists, Royal College of Surgeons of England. </w:t>
      </w:r>
      <w:r w:rsidRPr="00C62B94">
        <w:rPr>
          <w:i/>
          <w:iCs/>
        </w:rPr>
        <w:t>Anaesthesia</w:t>
      </w:r>
      <w:r w:rsidRPr="00C62B94">
        <w:t>. 2022 Feb 22. doi: 10.1111/anae.15699.</w:t>
      </w:r>
    </w:p>
    <w:p w14:paraId="70CE83C5" w14:textId="25698EC1" w:rsidR="00780F27" w:rsidRPr="00537F1A" w:rsidRDefault="00780F27" w:rsidP="00537F1A">
      <w:pPr>
        <w:pStyle w:val="NoSpacing"/>
        <w:numPr>
          <w:ilvl w:val="0"/>
          <w:numId w:val="1"/>
        </w:numPr>
        <w:rPr>
          <w:lang w:val="en-GB"/>
        </w:rPr>
      </w:pPr>
      <w:r w:rsidRPr="00780F27">
        <w:rPr>
          <w:lang w:val="en-GB"/>
        </w:rPr>
        <w:t>Preoperative Assessment and</w:t>
      </w:r>
      <w:r>
        <w:rPr>
          <w:lang w:val="en-GB"/>
        </w:rPr>
        <w:t xml:space="preserve"> </w:t>
      </w:r>
      <w:r w:rsidRPr="00780F27">
        <w:rPr>
          <w:lang w:val="en-GB"/>
        </w:rPr>
        <w:t>Optimisation for Adult Surgery</w:t>
      </w:r>
      <w:r>
        <w:rPr>
          <w:lang w:val="en-GB"/>
        </w:rPr>
        <w:t xml:space="preserve"> </w:t>
      </w:r>
      <w:r w:rsidRPr="00780F27">
        <w:rPr>
          <w:lang w:val="en-GB"/>
        </w:rPr>
        <w:t>including consideration of COVID-19</w:t>
      </w:r>
      <w:r>
        <w:rPr>
          <w:lang w:val="en-GB"/>
        </w:rPr>
        <w:t xml:space="preserve"> </w:t>
      </w:r>
      <w:r w:rsidRPr="00780F27">
        <w:rPr>
          <w:lang w:val="en-GB"/>
        </w:rPr>
        <w:t>and its implications</w:t>
      </w:r>
      <w:r>
        <w:rPr>
          <w:lang w:val="en-GB"/>
        </w:rPr>
        <w:t xml:space="preserve">. June 2021. Available from: </w:t>
      </w:r>
      <w:hyperlink r:id="rId6" w:history="1">
        <w:r w:rsidRPr="00476B0A">
          <w:rPr>
            <w:rStyle w:val="Hyperlink"/>
            <w:lang w:val="en-GB"/>
          </w:rPr>
          <w:t>https://www.cpoc.org.uk/preoperative-assessment-and-optimisation-adult-surgery</w:t>
        </w:r>
      </w:hyperlink>
    </w:p>
    <w:sectPr w:rsidR="00780F27" w:rsidRPr="00537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0085"/>
    <w:multiLevelType w:val="hybridMultilevel"/>
    <w:tmpl w:val="4C92F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0B05BE"/>
    <w:multiLevelType w:val="hybridMultilevel"/>
    <w:tmpl w:val="E574269A"/>
    <w:lvl w:ilvl="0" w:tplc="410496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C66D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CE8B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B8DF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AE85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E03E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FEC0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9613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EEAC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21"/>
    <w:rsid w:val="0000430C"/>
    <w:rsid w:val="00041206"/>
    <w:rsid w:val="00051214"/>
    <w:rsid w:val="00067F9C"/>
    <w:rsid w:val="000719C3"/>
    <w:rsid w:val="000A01E9"/>
    <w:rsid w:val="000C17F0"/>
    <w:rsid w:val="00124E21"/>
    <w:rsid w:val="00134367"/>
    <w:rsid w:val="00180240"/>
    <w:rsid w:val="001C588C"/>
    <w:rsid w:val="001E3F7D"/>
    <w:rsid w:val="0020593D"/>
    <w:rsid w:val="00247338"/>
    <w:rsid w:val="00260CFF"/>
    <w:rsid w:val="00326A15"/>
    <w:rsid w:val="0034257B"/>
    <w:rsid w:val="00364EF4"/>
    <w:rsid w:val="003805C5"/>
    <w:rsid w:val="003837B9"/>
    <w:rsid w:val="003A2AA6"/>
    <w:rsid w:val="003A71FD"/>
    <w:rsid w:val="003B24BF"/>
    <w:rsid w:val="003F34C6"/>
    <w:rsid w:val="00446402"/>
    <w:rsid w:val="00446FBB"/>
    <w:rsid w:val="00487E16"/>
    <w:rsid w:val="004C532D"/>
    <w:rsid w:val="00537F1A"/>
    <w:rsid w:val="00540EF0"/>
    <w:rsid w:val="00552C68"/>
    <w:rsid w:val="005E7A7C"/>
    <w:rsid w:val="00600321"/>
    <w:rsid w:val="006059A0"/>
    <w:rsid w:val="006A0697"/>
    <w:rsid w:val="006A195D"/>
    <w:rsid w:val="006B4418"/>
    <w:rsid w:val="006F52B7"/>
    <w:rsid w:val="006F7970"/>
    <w:rsid w:val="00700F0A"/>
    <w:rsid w:val="00780F27"/>
    <w:rsid w:val="00795400"/>
    <w:rsid w:val="007D629E"/>
    <w:rsid w:val="008B2F36"/>
    <w:rsid w:val="008C5C51"/>
    <w:rsid w:val="00927A83"/>
    <w:rsid w:val="00964DB0"/>
    <w:rsid w:val="009C67EF"/>
    <w:rsid w:val="009D11B2"/>
    <w:rsid w:val="009D6504"/>
    <w:rsid w:val="00A27092"/>
    <w:rsid w:val="00A41051"/>
    <w:rsid w:val="00A56400"/>
    <w:rsid w:val="00A86B5A"/>
    <w:rsid w:val="00A96506"/>
    <w:rsid w:val="00AB7C46"/>
    <w:rsid w:val="00AE1DC2"/>
    <w:rsid w:val="00AF28C4"/>
    <w:rsid w:val="00AF5340"/>
    <w:rsid w:val="00B1167A"/>
    <w:rsid w:val="00B30E78"/>
    <w:rsid w:val="00BA0190"/>
    <w:rsid w:val="00BC31CA"/>
    <w:rsid w:val="00C1683F"/>
    <w:rsid w:val="00C35EF6"/>
    <w:rsid w:val="00C50F31"/>
    <w:rsid w:val="00C62B94"/>
    <w:rsid w:val="00D23AC9"/>
    <w:rsid w:val="00D72AF4"/>
    <w:rsid w:val="00D7701C"/>
    <w:rsid w:val="00DF0093"/>
    <w:rsid w:val="00E17164"/>
    <w:rsid w:val="00E31616"/>
    <w:rsid w:val="00E358BE"/>
    <w:rsid w:val="00E77987"/>
    <w:rsid w:val="00EA3F8F"/>
    <w:rsid w:val="00F05828"/>
    <w:rsid w:val="00F37794"/>
    <w:rsid w:val="00F50AAB"/>
    <w:rsid w:val="00F62505"/>
    <w:rsid w:val="00F646ED"/>
    <w:rsid w:val="00F7158D"/>
    <w:rsid w:val="00F72EC8"/>
    <w:rsid w:val="00FA249D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765A8"/>
  <w15:chartTrackingRefBased/>
  <w15:docId w15:val="{BEAADF9A-3772-43CD-971D-FE5BF102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4E2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80F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0F27"/>
    <w:rPr>
      <w:color w:val="605E5C"/>
      <w:shd w:val="clear" w:color="auto" w:fill="E1DFDD"/>
    </w:rPr>
  </w:style>
  <w:style w:type="character" w:customStyle="1" w:styleId="A6">
    <w:name w:val="A6"/>
    <w:uiPriority w:val="99"/>
    <w:rsid w:val="008C5C5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819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poc.org.uk/preoperative-assessment-and-optimisation-adult-surge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EBBFC-02ED-45B9-AF42-1C9D15C5B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 Phoenix</dc:creator>
  <cp:keywords/>
  <dc:description/>
  <cp:lastModifiedBy>JK Phoenix</cp:lastModifiedBy>
  <cp:revision>69</cp:revision>
  <dcterms:created xsi:type="dcterms:W3CDTF">2021-08-08T21:02:00Z</dcterms:created>
  <dcterms:modified xsi:type="dcterms:W3CDTF">2022-03-20T18:26:00Z</dcterms:modified>
</cp:coreProperties>
</file>